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textAlignment w:val="auto"/>
        <w:rPr>
          <w:rFonts w:hint="eastAsia" w:ascii="Times New Roman" w:eastAsia="黑体"/>
          <w:lang w:eastAsia="zh-CN"/>
        </w:rPr>
      </w:pPr>
      <w:bookmarkStart w:id="0" w:name="_GoBack"/>
      <w:r>
        <w:rPr>
          <w:rFonts w:hint="eastAsia" w:ascii="黑体" w:eastAsia="黑体"/>
        </w:rPr>
        <w:t xml:space="preserve">附件 </w:t>
      </w:r>
      <w:r>
        <w:rPr>
          <w:rFonts w:hint="eastAsia" w:ascii="Times New Roman" w:eastAsia="宋体"/>
          <w:lang w:val="en-US" w:eastAsia="zh-CN"/>
        </w:rPr>
        <w:t>3</w:t>
      </w:r>
    </w:p>
    <w:p>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textAlignment w:val="auto"/>
        <w:rPr>
          <w:rFonts w:ascii="Times New Roman"/>
          <w:sz w:val="41"/>
        </w:rPr>
      </w:pPr>
    </w:p>
    <w:p>
      <w:pPr>
        <w:pStyle w:val="2"/>
        <w:keepNext w:val="0"/>
        <w:keepLines w:val="0"/>
        <w:pageBreakBefore w:val="0"/>
        <w:widowControl w:val="0"/>
        <w:kinsoku/>
        <w:wordWrap/>
        <w:overflowPunct/>
        <w:topLinePunct w:val="0"/>
        <w:autoSpaceDE w:val="0"/>
        <w:autoSpaceDN w:val="0"/>
        <w:bidi w:val="0"/>
        <w:adjustRightInd/>
        <w:snapToGrid/>
        <w:spacing w:before="288" w:line="578" w:lineRule="exact"/>
        <w:ind w:left="0" w:right="0" w:firstLine="0"/>
        <w:jc w:val="center"/>
        <w:textAlignment w:val="auto"/>
        <w:rPr>
          <w:rFonts w:ascii="Times New Roman" w:hAnsi="Times New Roman" w:eastAsia="方正小标宋_GBK"/>
          <w:sz w:val="44"/>
        </w:rPr>
      </w:pPr>
      <w:r>
        <w:rPr>
          <w:rFonts w:ascii="Times New Roman" w:hAnsi="Times New Roman" w:eastAsia="方正小标宋_GBK"/>
          <w:sz w:val="44"/>
        </w:rPr>
        <w:t>XXXX 灾害紧急避险转移人员汇总表</w:t>
      </w:r>
    </w:p>
    <w:bookmarkEnd w:id="0"/>
    <w:p>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textAlignment w:val="auto"/>
        <w:rPr>
          <w:rFonts w:ascii="方正小标宋简体"/>
          <w:sz w:val="29"/>
        </w:rPr>
      </w:pPr>
    </w:p>
    <w:p>
      <w:pPr>
        <w:pStyle w:val="3"/>
        <w:keepNext w:val="0"/>
        <w:keepLines w:val="0"/>
        <w:pageBreakBefore w:val="0"/>
        <w:widowControl w:val="0"/>
        <w:tabs>
          <w:tab w:val="left" w:pos="5307"/>
          <w:tab w:val="left" w:pos="7387"/>
          <w:tab w:val="left" w:pos="8026"/>
          <w:tab w:val="left" w:pos="8667"/>
        </w:tabs>
        <w:kinsoku/>
        <w:wordWrap/>
        <w:overflowPunct/>
        <w:topLinePunct w:val="0"/>
        <w:autoSpaceDE w:val="0"/>
        <w:autoSpaceDN w:val="0"/>
        <w:bidi w:val="0"/>
        <w:adjustRightInd/>
        <w:snapToGrid/>
        <w:spacing w:before="0" w:after="0" w:line="578" w:lineRule="exact"/>
        <w:ind w:left="0" w:right="0" w:firstLine="316" w:firstLineChars="100"/>
        <w:textAlignment w:val="auto"/>
      </w:pPr>
      <w:r>
        <w:rPr>
          <w:w w:val="99"/>
        </w:rPr>
        <w:t>填</w:t>
      </w:r>
      <w:r>
        <w:rPr>
          <w:spacing w:val="2"/>
          <w:w w:val="99"/>
        </w:rPr>
        <w:t>报</w:t>
      </w:r>
      <w:r>
        <w:rPr>
          <w:w w:val="99"/>
        </w:rPr>
        <w:t>单位</w:t>
      </w:r>
      <w:r>
        <w:rPr>
          <w:spacing w:val="2"/>
          <w:w w:val="99"/>
        </w:rPr>
        <w:t>（</w:t>
      </w:r>
      <w:r>
        <w:rPr>
          <w:w w:val="99"/>
        </w:rPr>
        <w:t>盖</w:t>
      </w:r>
      <w:r>
        <w:rPr>
          <w:spacing w:val="2"/>
          <w:w w:val="99"/>
        </w:rPr>
        <w:t>章</w:t>
      </w:r>
      <w:r>
        <w:rPr>
          <w:rFonts w:hint="eastAsia"/>
          <w:spacing w:val="2"/>
          <w:w w:val="99"/>
          <w:lang w:eastAsia="zh-CN"/>
        </w:rPr>
        <w:t>）：</w:t>
      </w:r>
      <w:r>
        <w:rPr>
          <w:rFonts w:hint="eastAsia"/>
          <w:spacing w:val="2"/>
          <w:w w:val="99"/>
          <w:lang w:val="en-US" w:eastAsia="zh-CN"/>
        </w:rPr>
        <w:t xml:space="preserve">           </w:t>
      </w:r>
      <w:r>
        <w:rPr>
          <w:w w:val="99"/>
        </w:rPr>
        <w:t>填</w:t>
      </w:r>
      <w:r>
        <w:rPr>
          <w:spacing w:val="2"/>
          <w:w w:val="99"/>
        </w:rPr>
        <w:t>报</w:t>
      </w:r>
      <w:r>
        <w:rPr>
          <w:w w:val="99"/>
        </w:rPr>
        <w:t>时间：</w:t>
      </w:r>
      <w:r>
        <w:rPr>
          <w:rFonts w:hint="eastAsia"/>
          <w:w w:val="99"/>
          <w:lang w:val="en-US" w:eastAsia="zh-CN"/>
        </w:rPr>
        <w:t xml:space="preserve">   </w:t>
      </w:r>
      <w:r>
        <w:rPr>
          <w:w w:val="99"/>
        </w:rPr>
        <w:t>年</w:t>
      </w:r>
      <w:r>
        <w:tab/>
      </w:r>
      <w:r>
        <w:rPr>
          <w:rFonts w:hint="eastAsia"/>
          <w:lang w:val="en-US" w:eastAsia="zh-CN"/>
        </w:rPr>
        <w:t xml:space="preserve">  </w:t>
      </w:r>
      <w:r>
        <w:rPr>
          <w:w w:val="99"/>
        </w:rPr>
        <w:t>月</w:t>
      </w:r>
      <w:r>
        <w:tab/>
      </w:r>
      <w:r>
        <w:rPr>
          <w:rFonts w:hint="eastAsia"/>
          <w:lang w:val="en-US" w:eastAsia="zh-CN"/>
        </w:rPr>
        <w:t xml:space="preserve">  </w:t>
      </w:r>
      <w:r>
        <w:rPr>
          <w:w w:val="99"/>
        </w:rPr>
        <w:t>日</w:t>
      </w:r>
    </w:p>
    <w:tbl>
      <w:tblPr>
        <w:tblStyle w:val="4"/>
        <w:tblW w:w="9555"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2123"/>
        <w:gridCol w:w="2392"/>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14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sz w:val="32"/>
              </w:rPr>
            </w:pPr>
            <w:r>
              <w:rPr>
                <w:w w:val="99"/>
                <w:sz w:val="32"/>
              </w:rPr>
              <w:t>序号</w:t>
            </w:r>
          </w:p>
        </w:tc>
        <w:tc>
          <w:tcPr>
            <w:tcW w:w="2123"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sz w:val="32"/>
              </w:rPr>
            </w:pPr>
            <w:r>
              <w:rPr>
                <w:sz w:val="32"/>
              </w:rPr>
              <w:t>预警等级</w:t>
            </w:r>
          </w:p>
        </w:tc>
        <w:tc>
          <w:tcPr>
            <w:tcW w:w="2392"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sz w:val="32"/>
              </w:rPr>
            </w:pPr>
            <w:r>
              <w:rPr>
                <w:sz w:val="32"/>
              </w:rPr>
              <w:t>灾害点位名称</w:t>
            </w:r>
          </w:p>
        </w:tc>
        <w:tc>
          <w:tcPr>
            <w:tcW w:w="390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sz w:val="32"/>
              </w:rPr>
            </w:pPr>
            <w:r>
              <w:rPr>
                <w:sz w:val="32"/>
              </w:rPr>
              <w:t>紧急避险转移</w:t>
            </w:r>
            <w:r>
              <w:rPr>
                <w:rFonts w:hint="eastAsia"/>
                <w:sz w:val="32"/>
                <w:lang w:eastAsia="zh-CN"/>
              </w:rPr>
              <w:t>户数</w:t>
            </w:r>
            <w:r>
              <w:rPr>
                <w:sz w:val="32"/>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4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r>
              <w:rPr>
                <w:rFonts w:ascii="Times New Roman"/>
                <w:w w:val="99"/>
                <w:sz w:val="32"/>
              </w:rPr>
              <w:t>1</w:t>
            </w:r>
          </w:p>
        </w:tc>
        <w:tc>
          <w:tcPr>
            <w:tcW w:w="2123"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2392"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390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14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r>
              <w:rPr>
                <w:rFonts w:ascii="Times New Roman"/>
                <w:w w:val="99"/>
                <w:sz w:val="32"/>
              </w:rPr>
              <w:t>2</w:t>
            </w:r>
          </w:p>
        </w:tc>
        <w:tc>
          <w:tcPr>
            <w:tcW w:w="2123"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2392"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390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14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r>
              <w:rPr>
                <w:rFonts w:ascii="Times New Roman"/>
                <w:w w:val="99"/>
                <w:sz w:val="32"/>
              </w:rPr>
              <w:t>3</w:t>
            </w:r>
          </w:p>
        </w:tc>
        <w:tc>
          <w:tcPr>
            <w:tcW w:w="2123"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2392"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390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4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r>
              <w:rPr>
                <w:rFonts w:ascii="Times New Roman"/>
                <w:w w:val="99"/>
                <w:sz w:val="32"/>
              </w:rPr>
              <w:t>4</w:t>
            </w:r>
          </w:p>
        </w:tc>
        <w:tc>
          <w:tcPr>
            <w:tcW w:w="2123"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2392"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390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14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r>
              <w:rPr>
                <w:rFonts w:ascii="Times New Roman"/>
                <w:w w:val="99"/>
                <w:sz w:val="32"/>
              </w:rPr>
              <w:t>5</w:t>
            </w:r>
          </w:p>
        </w:tc>
        <w:tc>
          <w:tcPr>
            <w:tcW w:w="2123"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2392"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390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14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r>
              <w:rPr>
                <w:rFonts w:ascii="Times New Roman"/>
                <w:w w:val="99"/>
                <w:sz w:val="32"/>
              </w:rPr>
              <w:t>6</w:t>
            </w:r>
          </w:p>
        </w:tc>
        <w:tc>
          <w:tcPr>
            <w:tcW w:w="2123"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2392"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390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4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r>
              <w:rPr>
                <w:rFonts w:ascii="Times New Roman"/>
                <w:w w:val="99"/>
                <w:sz w:val="32"/>
              </w:rPr>
              <w:t>7</w:t>
            </w:r>
          </w:p>
        </w:tc>
        <w:tc>
          <w:tcPr>
            <w:tcW w:w="2123"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2392"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390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14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sz w:val="32"/>
              </w:rPr>
            </w:pPr>
            <w:r>
              <w:rPr>
                <w:w w:val="99"/>
                <w:sz w:val="32"/>
              </w:rPr>
              <w:t>…</w:t>
            </w:r>
          </w:p>
        </w:tc>
        <w:tc>
          <w:tcPr>
            <w:tcW w:w="2123"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2392"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390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14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2123"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2392"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c>
          <w:tcPr>
            <w:tcW w:w="390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655" w:type="dxa"/>
            <w:gridSpan w:val="3"/>
            <w:vAlign w:val="center"/>
          </w:tcPr>
          <w:p>
            <w:pPr>
              <w:pStyle w:val="6"/>
              <w:keepNext w:val="0"/>
              <w:keepLines w:val="0"/>
              <w:pageBreakBefore w:val="0"/>
              <w:widowControl w:val="0"/>
              <w:tabs>
                <w:tab w:val="left" w:pos="648"/>
              </w:tabs>
              <w:kinsoku/>
              <w:wordWrap/>
              <w:overflowPunct/>
              <w:topLinePunct w:val="0"/>
              <w:autoSpaceDE w:val="0"/>
              <w:autoSpaceDN w:val="0"/>
              <w:bidi w:val="0"/>
              <w:adjustRightInd/>
              <w:snapToGrid/>
              <w:spacing w:before="0" w:after="0" w:line="578" w:lineRule="exact"/>
              <w:ind w:left="0" w:right="0"/>
              <w:jc w:val="center"/>
              <w:textAlignment w:val="auto"/>
              <w:rPr>
                <w:sz w:val="32"/>
              </w:rPr>
            </w:pPr>
            <w:r>
              <w:rPr>
                <w:sz w:val="32"/>
              </w:rPr>
              <w:t>合</w:t>
            </w:r>
            <w:r>
              <w:rPr>
                <w:sz w:val="32"/>
              </w:rPr>
              <w:tab/>
            </w:r>
            <w:r>
              <w:rPr>
                <w:sz w:val="32"/>
              </w:rPr>
              <w:t>计</w:t>
            </w:r>
          </w:p>
        </w:tc>
        <w:tc>
          <w:tcPr>
            <w:tcW w:w="3900"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center"/>
              <w:textAlignment w:val="auto"/>
              <w:rPr>
                <w:rFonts w:ascii="Times New Roman"/>
                <w:sz w:val="32"/>
              </w:rPr>
            </w:pPr>
          </w:p>
        </w:tc>
      </w:tr>
    </w:tbl>
    <w:p>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both"/>
        <w:textAlignment w:val="auto"/>
        <w:rPr>
          <w:spacing w:val="-6"/>
        </w:rPr>
      </w:pPr>
      <w:r>
        <w:t>备注：此表为乡镇（街道）汇总表，每次灾情结束后7日内由</w:t>
      </w:r>
      <w:r>
        <w:rPr>
          <w:spacing w:val="-6"/>
        </w:rPr>
        <w:t>乡镇（街道）主要负责人签字并加盖公章后报应急管理局。</w:t>
      </w:r>
    </w:p>
    <w:p>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right="0"/>
        <w:jc w:val="both"/>
        <w:textAlignment w:val="auto"/>
        <w:sectPr>
          <w:footerReference r:id="rId5" w:type="default"/>
          <w:footerReference r:id="rId6" w:type="even"/>
          <w:pgSz w:w="11910" w:h="16840"/>
          <w:pgMar w:top="1580" w:right="1120" w:bottom="1400" w:left="1240" w:header="0" w:footer="1214" w:gutter="0"/>
          <w:pgNumType w:fmt="decimal" w:start="9"/>
          <w:cols w:space="720" w:num="1"/>
        </w:sectPr>
      </w:pPr>
      <w:r>
        <w:rPr>
          <w:spacing w:val="-6"/>
        </w:rPr>
        <w:t xml:space="preserve">填表说明：预警等级填写 </w:t>
      </w:r>
      <w:r>
        <w:rPr>
          <w:rFonts w:ascii="Times New Roman" w:eastAsia="Times New Roman"/>
        </w:rPr>
        <w:t xml:space="preserve">XXXX </w:t>
      </w:r>
      <w:r>
        <w:t>灾害蓝色、黄色、橙色或</w:t>
      </w:r>
      <w:r>
        <w:rPr>
          <w:spacing w:val="2"/>
        </w:rPr>
        <w:t xml:space="preserve">红色预警；灾害点位名称填写发生灾害的具体地点，例 </w:t>
      </w:r>
      <w:r>
        <w:rPr>
          <w:rFonts w:ascii="Times New Roman" w:eastAsia="Times New Roman"/>
        </w:rPr>
        <w:t xml:space="preserve">XXXX </w:t>
      </w:r>
      <w:r>
        <w:rPr>
          <w:spacing w:val="-12"/>
        </w:rPr>
        <w:t>山洪灾害点；紧急避险转移人数填写发生灾害时在家人口和临时在该灾害点的外来人口，不能填写灾害点的户籍人口。</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ge">
                <wp:posOffset>9781540</wp:posOffset>
              </wp:positionV>
              <wp:extent cx="471805"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71805" cy="20383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top:770.2pt;height:16.05pt;width:37.15pt;mso-position-horizontal:right;mso-position-horizontal-relative:margin;mso-position-vertical-relative:page;z-index:251659264;mso-width-relative:page;mso-height-relative:page;" filled="f" stroked="f" coordsize="21600,21600" o:gfxdata="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JlPbd2AAAAAkBAAAPAAAAAAAAAAEAIAAAACIAAABkcnMvZG93bnJldi54bWxQSwEC&#10;FAAUAAAACACHTuJAkioEWrsBAABx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ZTc4MWFjMDU0MWMzNzVhZDg5ZDAxMDY0MmJlNzAifQ=="/>
  </w:docVars>
  <w:rsids>
    <w:rsidRoot w:val="1F65454B"/>
    <w:rsid w:val="1F654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1"/>
    <w:basedOn w:val="1"/>
    <w:qFormat/>
    <w:uiPriority w:val="1"/>
    <w:pPr>
      <w:ind w:left="1027"/>
      <w:outlineLvl w:val="1"/>
    </w:pPr>
    <w:rPr>
      <w:rFonts w:ascii="方正小标宋简体" w:hAnsi="方正小标宋简体" w:eastAsia="方正小标宋简体" w:cs="方正小标宋简体"/>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rPr>
  </w:style>
  <w:style w:type="paragraph" w:customStyle="1" w:styleId="6">
    <w:name w:val="Table Paragraph"/>
    <w:basedOn w:val="1"/>
    <w:autoRedefine/>
    <w:qFormat/>
    <w:uiPriority w:val="1"/>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2024-01-05T03:55:00Z</dcterms:created>
  <dc:creator>sdfweg</dc:creator>
  <cp:lastModifiedBy>sdfweg</cp:lastModifiedBy>
  <dcterms:modified xsi:type="dcterms:W3CDTF">2024-01-05T04:01:48Z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A8F23D636C334505AEC105140FB0C159_11</vt:lpwstr>
  </property>
</Properties>
</file>