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val="0"/>
        <w:autoSpaceDN w:val="0"/>
        <w:bidi w:val="0"/>
        <w:adjustRightInd/>
        <w:snapToGrid/>
        <w:spacing w:before="0" w:after="0" w:line="640" w:lineRule="exact"/>
        <w:ind w:left="0" w:leftChars="0" w:right="0" w:firstLine="440" w:firstLineChars="100"/>
        <w:jc w:val="center"/>
        <w:textAlignment w:val="auto"/>
        <w:rPr>
          <w:rFonts w:hint="eastAsia" w:ascii="方正小标宋_GBK" w:hAnsi="方正小标宋_GBK" w:eastAsia="方正小标宋_GBK" w:cs="方正小标宋_GBK"/>
        </w:rPr>
      </w:pPr>
      <w:bookmarkStart w:id="0" w:name="_GoBack"/>
      <w:r>
        <w:rPr>
          <w:rFonts w:hint="eastAsia" w:ascii="方正小标宋_GBK" w:hAnsi="方正小标宋_GBK" w:eastAsia="方正小标宋_GBK" w:cs="方正小标宋_GBK"/>
          <w:lang w:val="en-US" w:eastAsia="zh-CN"/>
        </w:rPr>
        <w:t>达州高新技术产业园区党政办公室</w:t>
      </w:r>
    </w:p>
    <w:p>
      <w:pPr>
        <w:pStyle w:val="2"/>
        <w:keepNext w:val="0"/>
        <w:keepLines w:val="0"/>
        <w:pageBreakBefore w:val="0"/>
        <w:widowControl w:val="0"/>
        <w:kinsoku/>
        <w:wordWrap/>
        <w:overflowPunct/>
        <w:topLinePunct w:val="0"/>
        <w:autoSpaceDE w:val="0"/>
        <w:autoSpaceDN w:val="0"/>
        <w:bidi w:val="0"/>
        <w:adjustRightInd/>
        <w:snapToGrid/>
        <w:spacing w:before="0" w:after="0" w:line="640" w:lineRule="exact"/>
        <w:ind w:left="0" w:leftChars="0" w:right="0" w:firstLine="440" w:firstLineChars="100"/>
        <w:jc w:val="center"/>
        <w:textAlignment w:val="auto"/>
        <w:rPr>
          <w:rFonts w:hint="eastAsia" w:ascii="方正小标宋_GBK" w:hAnsi="方正小标宋_GBK" w:eastAsia="方正小标宋_GBK" w:cs="方正小标宋_GBK"/>
        </w:rPr>
      </w:pPr>
      <w:r>
        <w:rPr>
          <w:rFonts w:hint="eastAsia" w:ascii="方正小标宋_GBK" w:hAnsi="方正小标宋_GBK" w:eastAsia="方正小标宋_GBK" w:cs="方正小标宋_GBK"/>
          <w:lang w:eastAsia="zh-CN"/>
        </w:rPr>
        <w:t>关于</w:t>
      </w:r>
      <w:r>
        <w:rPr>
          <w:rFonts w:hint="eastAsia" w:ascii="方正小标宋_GBK" w:hAnsi="方正小标宋_GBK" w:eastAsia="方正小标宋_GBK" w:cs="方正小标宋_GBK"/>
        </w:rPr>
        <w:t>灾害性天气受威胁群众紧急避险转移</w:t>
      </w:r>
    </w:p>
    <w:p>
      <w:pPr>
        <w:pStyle w:val="2"/>
        <w:keepNext w:val="0"/>
        <w:keepLines w:val="0"/>
        <w:pageBreakBefore w:val="0"/>
        <w:widowControl w:val="0"/>
        <w:kinsoku/>
        <w:wordWrap/>
        <w:overflowPunct/>
        <w:topLinePunct w:val="0"/>
        <w:autoSpaceDE w:val="0"/>
        <w:autoSpaceDN w:val="0"/>
        <w:bidi w:val="0"/>
        <w:adjustRightInd/>
        <w:snapToGrid/>
        <w:spacing w:before="0" w:after="0" w:line="640" w:lineRule="exact"/>
        <w:ind w:left="0" w:leftChars="0" w:right="0" w:firstLine="440" w:firstLineChars="100"/>
        <w:jc w:val="center"/>
        <w:textAlignment w:val="auto"/>
        <w:rPr>
          <w:rFonts w:hint="eastAsia" w:ascii="方正小标宋_GBK" w:hAnsi="方正小标宋_GBK" w:eastAsia="方正小标宋_GBK" w:cs="方正小标宋_GBK"/>
          <w:lang w:eastAsia="zh-CN"/>
        </w:rPr>
      </w:pPr>
      <w:r>
        <w:rPr>
          <w:rFonts w:hint="eastAsia" w:ascii="方正小标宋_GBK" w:hAnsi="方正小标宋_GBK" w:eastAsia="方正小标宋_GBK" w:cs="方正小标宋_GBK"/>
        </w:rPr>
        <w:t>工作</w:t>
      </w:r>
      <w:r>
        <w:rPr>
          <w:rFonts w:hint="eastAsia" w:ascii="方正小标宋_GBK" w:hAnsi="方正小标宋_GBK" w:eastAsia="方正小标宋_GBK" w:cs="方正小标宋_GBK"/>
          <w:lang w:eastAsia="zh-CN"/>
        </w:rPr>
        <w:t>的</w:t>
      </w:r>
      <w:r>
        <w:rPr>
          <w:rFonts w:hint="eastAsia" w:ascii="方正小标宋_GBK" w:hAnsi="方正小标宋_GBK" w:eastAsia="方正小标宋_GBK" w:cs="方正小标宋_GBK"/>
        </w:rPr>
        <w:t>实施</w:t>
      </w:r>
      <w:r>
        <w:rPr>
          <w:rFonts w:hint="eastAsia" w:ascii="方正小标宋_GBK" w:hAnsi="方正小标宋_GBK" w:eastAsia="方正小标宋_GBK" w:cs="方正小标宋_GBK"/>
          <w:lang w:eastAsia="zh-CN"/>
        </w:rPr>
        <w:t>意见</w:t>
      </w:r>
    </w:p>
    <w:bookmarkEnd w:id="0"/>
    <w:p>
      <w:pPr>
        <w:pStyle w:val="3"/>
        <w:keepNext w:val="0"/>
        <w:keepLines w:val="0"/>
        <w:pageBreakBefore w:val="0"/>
        <w:widowControl w:val="0"/>
        <w:kinsoku/>
        <w:wordWrap/>
        <w:overflowPunct w:val="0"/>
        <w:topLinePunct w:val="0"/>
        <w:autoSpaceDE w:val="0"/>
        <w:autoSpaceDN w:val="0"/>
        <w:bidi w:val="0"/>
        <w:adjustRightInd/>
        <w:snapToGrid/>
        <w:spacing w:before="0" w:after="0" w:line="578" w:lineRule="exact"/>
        <w:ind w:right="0"/>
        <w:jc w:val="both"/>
        <w:textAlignment w:val="auto"/>
        <w:rPr>
          <w:rFonts w:hint="eastAsia"/>
          <w:spacing w:val="6"/>
          <w:w w:val="95"/>
          <w:lang w:eastAsia="zh-CN"/>
        </w:rPr>
      </w:pPr>
    </w:p>
    <w:p>
      <w:pPr>
        <w:pStyle w:val="3"/>
        <w:keepNext w:val="0"/>
        <w:keepLines w:val="0"/>
        <w:pageBreakBefore w:val="0"/>
        <w:widowControl w:val="0"/>
        <w:kinsoku/>
        <w:wordWrap/>
        <w:overflowPunct w:val="0"/>
        <w:topLinePunct w:val="0"/>
        <w:autoSpaceDE w:val="0"/>
        <w:autoSpaceDN w:val="0"/>
        <w:bidi w:val="0"/>
        <w:adjustRightInd/>
        <w:snapToGrid/>
        <w:spacing w:before="0" w:after="0" w:line="578" w:lineRule="exact"/>
        <w:ind w:right="0"/>
        <w:jc w:val="both"/>
        <w:textAlignment w:val="auto"/>
        <w:rPr>
          <w:rFonts w:hint="eastAsia"/>
          <w:spacing w:val="6"/>
          <w:w w:val="95"/>
          <w:lang w:eastAsia="zh-CN"/>
        </w:rPr>
      </w:pPr>
      <w:r>
        <w:rPr>
          <w:rFonts w:hint="eastAsia"/>
          <w:spacing w:val="6"/>
          <w:w w:val="95"/>
          <w:lang w:eastAsia="zh-CN"/>
        </w:rPr>
        <w:t>各乡镇（街道）、区级有关部门：</w:t>
      </w:r>
    </w:p>
    <w:p>
      <w:pPr>
        <w:pStyle w:val="3"/>
        <w:keepNext w:val="0"/>
        <w:keepLines w:val="0"/>
        <w:pageBreakBefore w:val="0"/>
        <w:widowControl w:val="0"/>
        <w:kinsoku/>
        <w:wordWrap/>
        <w:overflowPunct w:val="0"/>
        <w:topLinePunct w:val="0"/>
        <w:autoSpaceDE w:val="0"/>
        <w:autoSpaceDN w:val="0"/>
        <w:bidi w:val="0"/>
        <w:adjustRightInd/>
        <w:snapToGrid/>
        <w:spacing w:before="0" w:after="0" w:line="578" w:lineRule="exact"/>
        <w:ind w:left="0" w:right="0" w:firstLine="632" w:firstLineChars="200"/>
        <w:jc w:val="both"/>
        <w:textAlignment w:val="auto"/>
        <w:rPr>
          <w:spacing w:val="6"/>
          <w:w w:val="95"/>
        </w:rPr>
      </w:pPr>
      <w:r>
        <w:rPr>
          <w:spacing w:val="6"/>
          <w:w w:val="95"/>
        </w:rPr>
        <w:t>为深入学习贯彻习近平总书记关于防灾减灾救灾工作的重要指示批示精神，有效防范应对灾害性天气对人民群众生命财产安全造成的严重威胁，全面落实《达州市人民政府办公室关于灾害性天气受威胁群众紧急避险转移工作的实施意见》（达市府办发〔</w:t>
      </w:r>
      <w:r>
        <w:rPr>
          <w:rFonts w:hint="default" w:ascii="Times New Roman" w:hAnsi="Times New Roman" w:cs="Times New Roman"/>
          <w:spacing w:val="6"/>
          <w:w w:val="95"/>
        </w:rPr>
        <w:t>2023</w:t>
      </w:r>
      <w:r>
        <w:rPr>
          <w:spacing w:val="6"/>
          <w:w w:val="95"/>
        </w:rPr>
        <w:t>〕</w:t>
      </w:r>
      <w:r>
        <w:rPr>
          <w:rFonts w:hint="default" w:ascii="Times New Roman" w:hAnsi="Times New Roman" w:cs="Times New Roman"/>
          <w:spacing w:val="6"/>
          <w:w w:val="95"/>
        </w:rPr>
        <w:t>21</w:t>
      </w:r>
      <w:r>
        <w:rPr>
          <w:spacing w:val="6"/>
          <w:w w:val="95"/>
        </w:rPr>
        <w:t>号）精神，全力做好受威胁群众紧急避险转移工作，</w:t>
      </w:r>
    </w:p>
    <w:p>
      <w:pPr>
        <w:pStyle w:val="3"/>
        <w:keepNext w:val="0"/>
        <w:keepLines w:val="0"/>
        <w:pageBreakBefore w:val="0"/>
        <w:widowControl w:val="0"/>
        <w:kinsoku/>
        <w:wordWrap/>
        <w:overflowPunct w:val="0"/>
        <w:topLinePunct w:val="0"/>
        <w:autoSpaceDE w:val="0"/>
        <w:autoSpaceDN w:val="0"/>
        <w:bidi w:val="0"/>
        <w:adjustRightInd/>
        <w:snapToGrid/>
        <w:spacing w:before="0" w:after="0" w:line="578" w:lineRule="exact"/>
        <w:ind w:right="0"/>
        <w:jc w:val="both"/>
        <w:textAlignment w:val="auto"/>
        <w:rPr>
          <w:spacing w:val="6"/>
          <w:w w:val="95"/>
        </w:rPr>
      </w:pPr>
      <w:r>
        <w:rPr>
          <w:spacing w:val="6"/>
          <w:w w:val="95"/>
        </w:rPr>
        <w:t>现制定以下实施细则。</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一</w:t>
      </w:r>
      <w:r>
        <w:rPr>
          <w:rFonts w:hint="eastAsia" w:ascii="黑体" w:hAnsi="黑体" w:eastAsia="黑体" w:cs="黑体"/>
          <w:lang w:eastAsia="zh-CN"/>
        </w:rPr>
        <w:t>、</w:t>
      </w:r>
      <w:r>
        <w:rPr>
          <w:rFonts w:hint="eastAsia" w:ascii="黑体" w:eastAsia="黑体"/>
        </w:rPr>
        <w:t>总体目标</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spacing w:val="6"/>
          <w:w w:val="95"/>
        </w:rPr>
        <w:t>灾害性天气受威胁群众紧急避险转移是防范自然灾害最主要、最有效的措施。必须严格落实“三个避让、三个紧急撤离”刚性要求，确保一旦遇到可能对人民群众生命财产安全造成重大损失的灾害性天气时，能迅速对受威胁群众采取紧急避险转移措施，努力实现无人员伤亡目标。</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二</w:t>
      </w:r>
      <w:r>
        <w:rPr>
          <w:rFonts w:hint="eastAsia" w:ascii="黑体" w:hAnsi="黑体" w:eastAsia="黑体" w:cs="黑体"/>
          <w:spacing w:val="6"/>
          <w:w w:val="95"/>
        </w:rPr>
        <w:t>、</w:t>
      </w:r>
      <w:r>
        <w:rPr>
          <w:rFonts w:hint="eastAsia" w:ascii="黑体" w:eastAsia="黑体"/>
        </w:rPr>
        <w:t>总体原则</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32" w:firstLineChars="200"/>
        <w:textAlignment w:val="auto"/>
      </w:pPr>
      <w:r>
        <w:rPr>
          <w:spacing w:val="6"/>
          <w:w w:val="95"/>
        </w:rPr>
        <w:t>坚持以防为主、防抗救相结合。</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三</w:t>
      </w:r>
      <w:r>
        <w:rPr>
          <w:rFonts w:hint="eastAsia" w:ascii="黑体" w:hAnsi="黑体" w:eastAsia="黑体" w:cs="黑体"/>
          <w:spacing w:val="6"/>
          <w:w w:val="95"/>
        </w:rPr>
        <w:t>、</w:t>
      </w:r>
      <w:r>
        <w:rPr>
          <w:rFonts w:hint="eastAsia" w:ascii="黑体" w:eastAsia="黑体"/>
        </w:rPr>
        <w:t>责任主体</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32" w:firstLineChars="200"/>
        <w:jc w:val="both"/>
        <w:textAlignment w:val="auto"/>
        <w:rPr>
          <w:spacing w:val="6"/>
          <w:w w:val="95"/>
        </w:rPr>
      </w:pP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一）</w:t>
      </w:r>
      <w:r>
        <w:rPr>
          <w:rFonts w:hint="eastAsia"/>
          <w:spacing w:val="6"/>
          <w:w w:val="95"/>
          <w:lang w:eastAsia="zh-CN"/>
        </w:rPr>
        <w:t>乡镇（街道）是落实紧急避险转移工作的直接责任单位，统筹负责辖区内受威胁群众紧急避险转移工作。</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spacing w:val="6"/>
          <w:w w:val="95"/>
        </w:rPr>
        <w:t>（二</w:t>
      </w:r>
      <w:r>
        <w:rPr>
          <w:rFonts w:hint="eastAsia"/>
          <w:spacing w:val="6"/>
          <w:w w:val="95"/>
          <w:lang w:eastAsia="zh-CN"/>
        </w:rPr>
        <w:t>）</w:t>
      </w:r>
      <w:r>
        <w:rPr>
          <w:spacing w:val="6"/>
          <w:w w:val="95"/>
        </w:rPr>
        <w:t>持续深化“</w:t>
      </w:r>
      <w:r>
        <w:rPr>
          <w:rFonts w:hint="eastAsia"/>
          <w:spacing w:val="6"/>
          <w:w w:val="95"/>
          <w:lang w:eastAsia="zh-CN"/>
        </w:rPr>
        <w:t>党工委、管委会</w:t>
      </w:r>
      <w:r>
        <w:rPr>
          <w:spacing w:val="6"/>
          <w:w w:val="95"/>
        </w:rPr>
        <w:t>领导包乡镇（街道）、乡镇（街道）领导包村（社区）、村（社区）干部包组、组干部包户”的包保责任制。预警发布后，包保责任人员第一时间下沉到责任单位开展工作。</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spacing w:val="6"/>
          <w:w w:val="95"/>
        </w:rPr>
        <w:t>（三）</w:t>
      </w:r>
      <w:r>
        <w:rPr>
          <w:rFonts w:hint="eastAsia"/>
          <w:spacing w:val="6"/>
          <w:w w:val="95"/>
          <w:lang w:eastAsia="zh-CN"/>
        </w:rPr>
        <w:t>区</w:t>
      </w:r>
      <w:r>
        <w:rPr>
          <w:rFonts w:hint="eastAsia"/>
          <w:spacing w:val="6"/>
          <w:w w:val="95"/>
        </w:rPr>
        <w:t>级</w:t>
      </w:r>
      <w:r>
        <w:rPr>
          <w:spacing w:val="6"/>
          <w:w w:val="95"/>
        </w:rPr>
        <w:t>有关部门和企（事）业单位要按照安全生产“三管三必须”要求，切实履行好部门监管责任和企（事）业单位主体责任，加强风险隐患点日常巡查、排查和治理工作，做好本行业（单位）紧急避险转移工作。</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四</w:t>
      </w:r>
      <w:r>
        <w:rPr>
          <w:rFonts w:hint="eastAsia" w:ascii="黑体" w:hAnsi="黑体" w:eastAsia="黑体" w:cs="黑体"/>
          <w:lang w:eastAsia="zh-CN"/>
        </w:rPr>
        <w:t>、</w:t>
      </w:r>
      <w:r>
        <w:rPr>
          <w:rFonts w:hint="eastAsia" w:ascii="黑体" w:eastAsia="黑体"/>
        </w:rPr>
        <w:t>预警发布</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spacing w:val="6"/>
          <w:w w:val="95"/>
        </w:rPr>
        <w:t>（一）</w:t>
      </w:r>
      <w:r>
        <w:rPr>
          <w:rFonts w:hint="eastAsia"/>
          <w:spacing w:val="6"/>
          <w:w w:val="95"/>
          <w:lang w:eastAsia="zh-CN"/>
        </w:rPr>
        <w:t>数字经济</w:t>
      </w:r>
      <w:r>
        <w:rPr>
          <w:spacing w:val="6"/>
          <w:w w:val="95"/>
        </w:rPr>
        <w:t>局、自</w:t>
      </w:r>
      <w:r>
        <w:rPr>
          <w:rFonts w:hint="eastAsia"/>
          <w:spacing w:val="6"/>
          <w:w w:val="95"/>
          <w:lang w:eastAsia="zh-CN"/>
        </w:rPr>
        <w:t>规分</w:t>
      </w:r>
      <w:r>
        <w:rPr>
          <w:spacing w:val="6"/>
          <w:w w:val="95"/>
        </w:rPr>
        <w:t>局、应急管理局要密切关注天气变化情况，及时发布洪涝、地质灾害风险提示等综合预警信息，第一时间将预警信息传达到乡镇（街道）、行业部门和灾害点。</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（二）各</w:t>
      </w:r>
      <w:r>
        <w:rPr>
          <w:spacing w:val="6"/>
          <w:w w:val="95"/>
        </w:rPr>
        <w:t>乡镇（街道）</w:t>
      </w:r>
      <w:r>
        <w:rPr>
          <w:rFonts w:hint="eastAsia"/>
          <w:spacing w:val="6"/>
          <w:w w:val="95"/>
          <w:lang w:eastAsia="zh-CN"/>
        </w:rPr>
        <w:t>、区</w:t>
      </w:r>
      <w:r>
        <w:rPr>
          <w:spacing w:val="6"/>
          <w:w w:val="95"/>
        </w:rPr>
        <w:t>级有关部门收到预警信息后，要及时将预警信息传达到村、组、企（事）业单位负责人以及各风险区域和灾害隐患点监测员。</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w:t>
      </w:r>
      <w:r>
        <w:rPr>
          <w:rFonts w:hint="eastAsia" w:ascii="仿宋_GB2312" w:hAnsi="仿宋_GB2312" w:eastAsia="仿宋_GB2312" w:cs="仿宋_GB2312"/>
          <w:spacing w:val="6"/>
          <w:w w:val="95"/>
          <w:lang w:eastAsia="zh-CN"/>
        </w:rPr>
        <w:t>各</w:t>
      </w:r>
      <w:r>
        <w:rPr>
          <w:spacing w:val="6"/>
          <w:w w:val="95"/>
        </w:rPr>
        <w:t>乡镇（街道）驻村干部、村（社区）干部为所辖区域的预警信息传递人，村、组干部、灾害隐患点监测员为危险区域的“吹哨人”</w:t>
      </w:r>
      <w:r>
        <w:rPr>
          <w:rFonts w:hint="eastAsia"/>
          <w:spacing w:val="6"/>
          <w:w w:val="95"/>
          <w:lang w:eastAsia="zh-CN"/>
        </w:rPr>
        <w:t>，</w:t>
      </w:r>
      <w:r>
        <w:rPr>
          <w:spacing w:val="6"/>
          <w:w w:val="95"/>
        </w:rPr>
        <w:t>“吹哨人”第一时间将灾害预警信息传递至区域内每名受威胁群众。</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四</w:t>
      </w:r>
      <w:r>
        <w:rPr>
          <w:rFonts w:hint="eastAsia" w:ascii="仿宋_GB2312" w:hAnsi="仿宋_GB2312" w:eastAsia="仿宋_GB2312" w:cs="仿宋_GB2312"/>
          <w:spacing w:val="6"/>
          <w:w w:val="95"/>
        </w:rPr>
        <w:t>）</w:t>
      </w:r>
      <w:r>
        <w:rPr>
          <w:spacing w:val="6"/>
          <w:w w:val="95"/>
        </w:rPr>
        <w:t>建立“叫醒”与“回应”机制，采取“土洋结合</w:t>
      </w:r>
      <w:r>
        <w:rPr>
          <w:rFonts w:hint="eastAsia"/>
          <w:spacing w:val="6"/>
          <w:w w:val="95"/>
          <w:lang w:eastAsia="zh-CN"/>
        </w:rPr>
        <w:t>”“</w:t>
      </w:r>
      <w:r>
        <w:rPr>
          <w:spacing w:val="6"/>
          <w:w w:val="95"/>
        </w:rPr>
        <w:t>点对点精准提醒”等方法，既要通过“村村响”、喇叭铜锣、上</w:t>
      </w:r>
      <w:r>
        <w:rPr>
          <w:rFonts w:hint="eastAsia"/>
          <w:spacing w:val="6"/>
          <w:w w:val="95"/>
          <w:lang w:eastAsia="zh-CN"/>
        </w:rPr>
        <w:t>门</w:t>
      </w:r>
      <w:r>
        <w:rPr>
          <w:spacing w:val="6"/>
          <w:w w:val="95"/>
        </w:rPr>
        <w:t>通知等传统方式，又要充分利用互联网、广播电视、短信、微信、 微博等全媒体传播手段，切实打通预警信息传递的“最后一公里”。</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五</w:t>
      </w:r>
      <w:r>
        <w:rPr>
          <w:rFonts w:hint="eastAsia" w:ascii="黑体" w:hAnsi="黑体" w:eastAsia="黑体" w:cs="黑体"/>
          <w:lang w:eastAsia="zh-CN"/>
        </w:rPr>
        <w:t>、</w:t>
      </w:r>
      <w:r>
        <w:rPr>
          <w:rFonts w:hint="eastAsia" w:ascii="黑体" w:eastAsia="黑体"/>
        </w:rPr>
        <w:t>明确转移对象</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rPr>
        <w:t>（</w:t>
      </w:r>
      <w:r>
        <w:rPr>
          <w:rFonts w:hint="eastAsia" w:ascii="仿宋_GB2312" w:hAnsi="仿宋_GB2312" w:eastAsia="仿宋_GB2312" w:cs="仿宋_GB2312"/>
          <w:spacing w:val="6"/>
          <w:w w:val="95"/>
        </w:rPr>
        <w:t>一）以</w:t>
      </w:r>
      <w:r>
        <w:rPr>
          <w:spacing w:val="6"/>
          <w:w w:val="95"/>
        </w:rPr>
        <w:t>乡镇（街道）为单位，重点转移地质灾害隐患点、山洪灾害危险区以及病险水库（堤坝）、低洼地段、旅游景区、工地营地等区域的受威胁人员。</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（二）要</w:t>
      </w:r>
      <w:r>
        <w:rPr>
          <w:spacing w:val="6"/>
          <w:w w:val="95"/>
        </w:rPr>
        <w:t>明确发布蓝色、黄色、橙色、红色预警时，地质灾害隐患点、山洪灾害危险区、病险水库（堤坝）、低洼地段、旅游景区、工地营地等区域需转移人数（按照预案），由</w:t>
      </w:r>
      <w:r>
        <w:rPr>
          <w:rFonts w:hint="eastAsia"/>
          <w:spacing w:val="6"/>
          <w:w w:val="95"/>
          <w:lang w:eastAsia="zh-CN"/>
        </w:rPr>
        <w:t>科经局</w:t>
      </w:r>
      <w:r>
        <w:rPr>
          <w:spacing w:val="6"/>
          <w:w w:val="95"/>
        </w:rPr>
        <w:t xml:space="preserve">、 </w:t>
      </w:r>
      <w:r>
        <w:rPr>
          <w:rFonts w:hint="eastAsia"/>
          <w:spacing w:val="6"/>
          <w:w w:val="95"/>
          <w:lang w:eastAsia="zh-CN"/>
        </w:rPr>
        <w:t>自规分</w:t>
      </w:r>
      <w:r>
        <w:rPr>
          <w:spacing w:val="6"/>
          <w:w w:val="95"/>
        </w:rPr>
        <w:t>局、</w:t>
      </w:r>
      <w:r>
        <w:rPr>
          <w:rFonts w:hint="eastAsia"/>
          <w:spacing w:val="6"/>
          <w:w w:val="95"/>
          <w:lang w:eastAsia="zh-CN"/>
        </w:rPr>
        <w:t>数字经济局</w:t>
      </w:r>
      <w:r>
        <w:rPr>
          <w:spacing w:val="6"/>
          <w:w w:val="95"/>
        </w:rPr>
        <w:t>、</w:t>
      </w:r>
      <w:r>
        <w:rPr>
          <w:rFonts w:hint="eastAsia"/>
          <w:spacing w:val="6"/>
          <w:w w:val="95"/>
          <w:lang w:eastAsia="zh-CN"/>
        </w:rPr>
        <w:t>社事</w:t>
      </w:r>
      <w:r>
        <w:rPr>
          <w:spacing w:val="6"/>
          <w:w w:val="95"/>
        </w:rPr>
        <w:t>局</w:t>
      </w:r>
      <w:r>
        <w:rPr>
          <w:rFonts w:hint="eastAsia"/>
          <w:spacing w:val="6"/>
          <w:w w:val="95"/>
          <w:lang w:eastAsia="zh-CN"/>
        </w:rPr>
        <w:t>、应急管理局</w:t>
      </w:r>
      <w:r>
        <w:rPr>
          <w:spacing w:val="6"/>
          <w:w w:val="95"/>
        </w:rPr>
        <w:t>等行业主管部门指导乡镇（街道）建立转移人员台账。</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（三）各</w:t>
      </w:r>
      <w:r>
        <w:rPr>
          <w:spacing w:val="6"/>
          <w:w w:val="95"/>
        </w:rPr>
        <w:t>乡镇（街道）负责统计辖区内转移人员并建立台账（含非常住人口）</w:t>
      </w:r>
      <w:r>
        <w:rPr>
          <w:rFonts w:hint="eastAsia"/>
          <w:spacing w:val="6"/>
          <w:w w:val="95"/>
          <w:lang w:eastAsia="zh-CN"/>
        </w:rPr>
        <w:t>，</w:t>
      </w:r>
      <w:r>
        <w:rPr>
          <w:spacing w:val="6"/>
          <w:w w:val="95"/>
        </w:rPr>
        <w:t>旅游景区、企（事）业单位和工地营地转移人员由旅游景区、企（事）业单位（或施工单位）将基本情况报辖区乡镇人民政府（街道办事处）。</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pPr>
      <w:r>
        <w:rPr>
          <w:rFonts w:hint="eastAsia" w:ascii="仿宋_GB2312" w:hAnsi="仿宋_GB2312" w:eastAsia="仿宋_GB2312" w:cs="仿宋_GB2312"/>
          <w:spacing w:val="6"/>
          <w:w w:val="95"/>
        </w:rPr>
        <w:t>（四）没</w:t>
      </w:r>
      <w:r>
        <w:rPr>
          <w:spacing w:val="6"/>
          <w:w w:val="95"/>
        </w:rPr>
        <w:t>有气象预警，但由于突发自然灾害或其他原因，需要紧急避险转移群众的，也列入避险转移人口统计范围。</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六</w:t>
      </w:r>
      <w:r>
        <w:rPr>
          <w:rFonts w:hint="eastAsia" w:ascii="黑体" w:hAnsi="黑体" w:eastAsia="黑体" w:cs="黑体"/>
          <w:lang w:eastAsia="zh-CN"/>
        </w:rPr>
        <w:t>、</w:t>
      </w:r>
      <w:r>
        <w:rPr>
          <w:rFonts w:hint="eastAsia" w:ascii="黑体" w:eastAsia="黑体"/>
        </w:rPr>
        <w:t>预案与演练</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（一）各</w:t>
      </w:r>
      <w:r>
        <w:rPr>
          <w:spacing w:val="6"/>
          <w:w w:val="95"/>
        </w:rPr>
        <w:t>乡镇（街道）</w:t>
      </w:r>
      <w:r>
        <w:rPr>
          <w:rFonts w:hint="eastAsia"/>
          <w:spacing w:val="6"/>
          <w:w w:val="95"/>
          <w:lang w:eastAsia="zh-CN"/>
        </w:rPr>
        <w:t>、区</w:t>
      </w:r>
      <w:r>
        <w:rPr>
          <w:spacing w:val="6"/>
          <w:w w:val="95"/>
        </w:rPr>
        <w:t>级有关部门要根据不同预警等级， 科学制定综合避险应急预案。预案应简单明了、务实管用，明确各灾害点紧急避险责任人、转移对象、预警信号、转移路线等。</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（二）各级</w:t>
      </w:r>
      <w:r>
        <w:rPr>
          <w:spacing w:val="6"/>
          <w:w w:val="95"/>
        </w:rPr>
        <w:t>责任人要清楚自己的工作职责、转移对象、转移安置措施等。确保群众知晓转移时间、转移路线、安置点位置和相关注意事项。</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pPr>
      <w:r>
        <w:rPr>
          <w:rFonts w:hint="eastAsia" w:ascii="仿宋_GB2312" w:hAnsi="仿宋_GB2312" w:eastAsia="仿宋_GB2312" w:cs="仿宋_GB2312"/>
          <w:spacing w:val="6"/>
          <w:w w:val="95"/>
        </w:rPr>
        <w:t>（三）各</w:t>
      </w:r>
      <w:r>
        <w:rPr>
          <w:spacing w:val="6"/>
          <w:w w:val="95"/>
        </w:rPr>
        <w:t>乡镇（街道）</w:t>
      </w:r>
      <w:r>
        <w:rPr>
          <w:rFonts w:hint="eastAsia"/>
          <w:spacing w:val="6"/>
          <w:w w:val="95"/>
          <w:lang w:eastAsia="zh-CN"/>
        </w:rPr>
        <w:t>、区</w:t>
      </w:r>
      <w:r>
        <w:rPr>
          <w:spacing w:val="6"/>
          <w:w w:val="95"/>
        </w:rPr>
        <w:t>级有关部门要定期组织人员开展紧急避险转移综合演练，特别是要加强夜间和“三断”等特殊场景的实战演练，提高指挥决策、部门协同和组织实施能力，提升基层干部群众主动防灾避险意识和自救互救能力。</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七</w:t>
      </w:r>
      <w:r>
        <w:rPr>
          <w:rFonts w:hint="eastAsia" w:ascii="黑体" w:hAnsi="黑体" w:eastAsia="黑体" w:cs="黑体"/>
          <w:lang w:eastAsia="zh-CN"/>
        </w:rPr>
        <w:t>、</w:t>
      </w:r>
      <w:r>
        <w:rPr>
          <w:rFonts w:hint="eastAsia" w:ascii="黑体" w:eastAsia="黑体"/>
        </w:rPr>
        <w:t>转移措施</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（一）各</w:t>
      </w:r>
      <w:r>
        <w:rPr>
          <w:spacing w:val="6"/>
          <w:w w:val="95"/>
        </w:rPr>
        <w:t>乡镇（街道）</w:t>
      </w:r>
      <w:r>
        <w:rPr>
          <w:rFonts w:hint="eastAsia"/>
          <w:spacing w:val="6"/>
          <w:w w:val="95"/>
          <w:lang w:eastAsia="zh-CN"/>
        </w:rPr>
        <w:t>、</w:t>
      </w:r>
      <w:r>
        <w:rPr>
          <w:spacing w:val="6"/>
          <w:w w:val="95"/>
        </w:rPr>
        <w:t>企（事）业单位要充分研判雨情、汛情和灾情，在危险点发生强降雨、接到暴雨蓝色预警及以上预警信号、出现险情征兆或对险情不能准确研判时，相关责任人要立即组织受威胁群众紧急避险转移。</w:t>
      </w:r>
      <w:r>
        <w:rPr>
          <w:rFonts w:hint="eastAsia"/>
          <w:spacing w:val="6"/>
          <w:w w:val="95"/>
          <w:lang w:eastAsia="zh-CN"/>
        </w:rPr>
        <w:t>区</w:t>
      </w:r>
      <w:r>
        <w:rPr>
          <w:spacing w:val="6"/>
          <w:w w:val="95"/>
        </w:rPr>
        <w:t>级有关部门（单位）要牵头督促所属行业危险区域企业、工地营地等进行紧急避险转移。</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w:t>
      </w:r>
      <w:r>
        <w:rPr>
          <w:spacing w:val="6"/>
          <w:w w:val="95"/>
        </w:rPr>
        <w:t>当灾害性天气预警信息发布后，各级包保责任人要立即下沉一线，组织指导做好相关工作，特别是加强人员避险转移， 严格按照预警要求，确保应转尽转、应转早转。</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（三）对</w:t>
      </w:r>
      <w:r>
        <w:rPr>
          <w:spacing w:val="6"/>
          <w:w w:val="95"/>
        </w:rPr>
        <w:t>不愿意转移的群众，应按照“三个避让</w:t>
      </w:r>
      <w:r>
        <w:rPr>
          <w:rFonts w:hint="eastAsia"/>
          <w:spacing w:val="6"/>
          <w:w w:val="95"/>
          <w:lang w:eastAsia="zh-CN"/>
        </w:rPr>
        <w:t>”“</w:t>
      </w:r>
      <w:r>
        <w:rPr>
          <w:spacing w:val="6"/>
          <w:w w:val="95"/>
        </w:rPr>
        <w:t>三个紧急撤离”的刚性要求，采取坚决措施予以强制转移。对不顾劝阻执意返回的群众，要依法惩戒教育；要对破坏应急处置工作等危害公共安全行为严厉打击。</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pPr>
      <w:r>
        <w:rPr>
          <w:rFonts w:hint="eastAsia" w:ascii="仿宋_GB2312" w:hAnsi="仿宋_GB2312" w:eastAsia="仿宋_GB2312" w:cs="仿宋_GB2312"/>
          <w:spacing w:val="6"/>
          <w:w w:val="95"/>
        </w:rPr>
        <w:t>（四）</w:t>
      </w:r>
      <w:r>
        <w:rPr>
          <w:spacing w:val="6"/>
          <w:w w:val="95"/>
        </w:rPr>
        <w:t>转移人员必须实事求是，以实际转移人数为准（包括当时正处于受灾区域的非常住人口），一般不得扩大范围。</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八</w:t>
      </w:r>
      <w:r>
        <w:rPr>
          <w:rFonts w:hint="eastAsia" w:ascii="黑体" w:hAnsi="黑体" w:eastAsia="黑体" w:cs="黑体"/>
          <w:lang w:eastAsia="zh-CN"/>
        </w:rPr>
        <w:t>、</w:t>
      </w:r>
      <w:r>
        <w:rPr>
          <w:rFonts w:hint="eastAsia" w:ascii="黑体" w:eastAsia="黑体"/>
        </w:rPr>
        <w:t>安置工作</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（一）安</w:t>
      </w:r>
      <w:r>
        <w:rPr>
          <w:spacing w:val="6"/>
          <w:w w:val="95"/>
        </w:rPr>
        <w:t>置为临时性安置。</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（二）各</w:t>
      </w:r>
      <w:r>
        <w:rPr>
          <w:spacing w:val="6"/>
          <w:w w:val="95"/>
        </w:rPr>
        <w:t>乡镇（街道）要结合实际，科学设置避险转移安置场所。按照“分散安置为主、集中安置为辅”原则进行，优先选择投亲靠友的分散安置方式，确因无法投亲靠友的由当地乡镇（街道）采取集中安置。集中安置主要利用活动室、学校、闲置办公用房等。</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w:t>
      </w:r>
      <w:r>
        <w:rPr>
          <w:rFonts w:hint="eastAsia" w:ascii="仿宋_GB2312" w:hAnsi="仿宋_GB2312" w:eastAsia="仿宋_GB2312" w:cs="仿宋_GB2312"/>
          <w:spacing w:val="6"/>
          <w:w w:val="95"/>
          <w:lang w:val="en-US" w:eastAsia="zh-CN"/>
        </w:rPr>
        <w:t xml:space="preserve"> </w:t>
      </w:r>
      <w:r>
        <w:rPr>
          <w:rFonts w:hint="eastAsia" w:ascii="仿宋_GB2312" w:hAnsi="仿宋_GB2312" w:eastAsia="仿宋_GB2312" w:cs="仿宋_GB2312"/>
          <w:spacing w:val="6"/>
          <w:w w:val="95"/>
        </w:rPr>
        <w:t>要做</w:t>
      </w:r>
      <w:r>
        <w:rPr>
          <w:spacing w:val="6"/>
          <w:w w:val="95"/>
        </w:rPr>
        <w:t>好后勤保障工作，解决好避险转移群众基本生活。</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（四）应</w:t>
      </w:r>
      <w:r>
        <w:rPr>
          <w:spacing w:val="6"/>
          <w:w w:val="95"/>
        </w:rPr>
        <w:t>急管理局要适当前置救灾物资，指导帮助乡镇（街道）开展群众安置避险转移工作。</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九</w:t>
      </w:r>
      <w:r>
        <w:rPr>
          <w:rFonts w:hint="eastAsia" w:ascii="黑体" w:hAnsi="黑体" w:eastAsia="黑体" w:cs="黑体"/>
          <w:lang w:eastAsia="zh-CN"/>
        </w:rPr>
        <w:t>、</w:t>
      </w:r>
      <w:r>
        <w:rPr>
          <w:rFonts w:hint="eastAsia" w:ascii="黑体" w:eastAsia="黑体"/>
        </w:rPr>
        <w:t>补助兑现程序</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一</w:t>
      </w: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为</w:t>
      </w:r>
      <w:r>
        <w:rPr>
          <w:rFonts w:hint="eastAsia"/>
          <w:spacing w:val="6"/>
          <w:w w:val="95"/>
          <w:lang w:eastAsia="zh-CN"/>
        </w:rPr>
        <w:t>加强紧急避险转移工作的资金保障，由区财政统筹按照紧急避险</w:t>
      </w:r>
      <w:r>
        <w:rPr>
          <w:spacing w:val="6"/>
          <w:w w:val="95"/>
        </w:rPr>
        <w:t>转移人员</w:t>
      </w:r>
      <w:r>
        <w:rPr>
          <w:rFonts w:hint="default" w:ascii="Times New Roman" w:hAnsi="Times New Roman" w:cs="Times New Roman"/>
          <w:spacing w:val="6"/>
          <w:w w:val="95"/>
        </w:rPr>
        <w:t>25</w:t>
      </w:r>
      <w:r>
        <w:rPr>
          <w:spacing w:val="6"/>
          <w:w w:val="95"/>
        </w:rPr>
        <w:t>元/人</w:t>
      </w:r>
      <w:r>
        <w:rPr>
          <w:rFonts w:hint="eastAsia"/>
          <w:spacing w:val="6"/>
          <w:w w:val="95"/>
          <w:lang w:val="en-US" w:eastAsia="zh-CN"/>
        </w:rPr>
        <w:t>/</w:t>
      </w:r>
      <w:r>
        <w:rPr>
          <w:spacing w:val="6"/>
          <w:w w:val="95"/>
        </w:rPr>
        <w:t>天给予生活补助，每次自然灾害过程结束后</w:t>
      </w:r>
      <w:r>
        <w:rPr>
          <w:rFonts w:hint="default" w:ascii="Times New Roman" w:hAnsi="Times New Roman" w:cs="Times New Roman"/>
          <w:spacing w:val="6"/>
          <w:w w:val="95"/>
        </w:rPr>
        <w:t>7</w:t>
      </w:r>
      <w:r>
        <w:rPr>
          <w:spacing w:val="6"/>
          <w:w w:val="95"/>
        </w:rPr>
        <w:t>日内由乡镇（街道）报送实际转移人数。报送资料包括转移人员汇总表（附件</w:t>
      </w:r>
      <w:r>
        <w:rPr>
          <w:rFonts w:hint="eastAsia" w:ascii="Times New Roman" w:hAnsi="Times New Roman" w:cs="Times New Roman"/>
          <w:spacing w:val="6"/>
          <w:w w:val="95"/>
          <w:lang w:val="en-US" w:eastAsia="zh-CN"/>
        </w:rPr>
        <w:t>3</w:t>
      </w:r>
      <w:r>
        <w:rPr>
          <w:spacing w:val="6"/>
          <w:w w:val="95"/>
        </w:rPr>
        <w:t>）、转移人员台账（附件</w:t>
      </w:r>
      <w:r>
        <w:rPr>
          <w:rFonts w:hint="eastAsia" w:ascii="Times New Roman" w:hAnsi="Times New Roman" w:cs="Times New Roman"/>
          <w:spacing w:val="6"/>
          <w:w w:val="95"/>
          <w:lang w:val="en-US" w:eastAsia="zh-CN"/>
        </w:rPr>
        <w:t>4</w:t>
      </w:r>
      <w:r>
        <w:rPr>
          <w:spacing w:val="6"/>
          <w:w w:val="95"/>
        </w:rPr>
        <w:t>）和转移群众图片。应急管理局及时组织审核并汇总，报</w:t>
      </w:r>
      <w:r>
        <w:rPr>
          <w:rFonts w:hint="eastAsia"/>
          <w:spacing w:val="6"/>
          <w:w w:val="95"/>
          <w:lang w:eastAsia="zh-CN"/>
        </w:rPr>
        <w:t>党工委、管委会</w:t>
      </w:r>
      <w:r>
        <w:rPr>
          <w:spacing w:val="6"/>
          <w:w w:val="95"/>
        </w:rPr>
        <w:t>审定。</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二</w:t>
      </w:r>
      <w:r>
        <w:rPr>
          <w:rFonts w:hint="eastAsia" w:ascii="仿宋_GB2312" w:hAnsi="仿宋_GB2312" w:eastAsia="仿宋_GB2312" w:cs="仿宋_GB2312"/>
          <w:spacing w:val="6"/>
          <w:w w:val="95"/>
        </w:rPr>
        <w:t>）乡</w:t>
      </w:r>
      <w:r>
        <w:rPr>
          <w:spacing w:val="6"/>
          <w:w w:val="95"/>
        </w:rPr>
        <w:t>镇（街道）转移人员补助兑现按以下程序进行：村（社区）登记建立台账（附件</w:t>
      </w:r>
      <w:r>
        <w:rPr>
          <w:rFonts w:hint="eastAsia" w:ascii="Times New Roman" w:hAnsi="Times New Roman" w:cs="Times New Roman"/>
          <w:spacing w:val="6"/>
          <w:w w:val="95"/>
          <w:lang w:val="en-US" w:eastAsia="zh-CN"/>
        </w:rPr>
        <w:t>4</w:t>
      </w:r>
      <w:r>
        <w:rPr>
          <w:spacing w:val="6"/>
          <w:w w:val="95"/>
        </w:rPr>
        <w:t>）→公示（</w:t>
      </w:r>
      <w:r>
        <w:rPr>
          <w:rFonts w:hint="eastAsia"/>
          <w:spacing w:val="6"/>
          <w:w w:val="95"/>
          <w:lang w:eastAsia="zh-CN"/>
        </w:rPr>
        <w:t>不少于</w:t>
      </w:r>
      <w:r>
        <w:rPr>
          <w:rFonts w:hint="eastAsia"/>
          <w:spacing w:val="6"/>
          <w:w w:val="95"/>
          <w:lang w:val="en-US" w:eastAsia="zh-CN"/>
        </w:rPr>
        <w:t>3个工作日</w:t>
      </w:r>
      <w:r>
        <w:rPr>
          <w:spacing w:val="6"/>
          <w:w w:val="95"/>
        </w:rPr>
        <w:t>）→乡镇（街道）审核汇总（附件</w:t>
      </w:r>
      <w:r>
        <w:rPr>
          <w:rFonts w:hint="eastAsia" w:ascii="Times New Roman" w:hAnsi="Times New Roman" w:cs="Times New Roman"/>
          <w:spacing w:val="6"/>
          <w:w w:val="95"/>
          <w:lang w:val="en-US" w:eastAsia="zh-CN"/>
        </w:rPr>
        <w:t>3</w:t>
      </w:r>
      <w:r>
        <w:rPr>
          <w:spacing w:val="6"/>
          <w:w w:val="95"/>
        </w:rPr>
        <w:t>）→应急管理局汇总并向</w:t>
      </w:r>
      <w:r>
        <w:rPr>
          <w:rFonts w:hint="eastAsia"/>
          <w:spacing w:val="6"/>
          <w:w w:val="95"/>
          <w:lang w:eastAsia="zh-CN"/>
        </w:rPr>
        <w:t>管委会</w:t>
      </w:r>
      <w:r>
        <w:rPr>
          <w:spacing w:val="6"/>
          <w:w w:val="95"/>
        </w:rPr>
        <w:t>申报→补助资金兑现划拨给乡镇（街道）。</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pPr>
      <w:r>
        <w:rPr>
          <w:rFonts w:hint="eastAsia" w:ascii="仿宋_GB2312" w:hAnsi="仿宋_GB2312" w:eastAsia="仿宋_GB2312" w:cs="仿宋_GB2312"/>
          <w:spacing w:val="6"/>
          <w:w w:val="95"/>
        </w:rPr>
        <w:t>（</w:t>
      </w:r>
      <w:r>
        <w:rPr>
          <w:rFonts w:hint="eastAsia" w:ascii="仿宋_GB2312" w:hAnsi="仿宋_GB2312" w:eastAsia="仿宋_GB2312" w:cs="仿宋_GB2312"/>
          <w:spacing w:val="6"/>
          <w:w w:val="95"/>
          <w:lang w:eastAsia="zh-CN"/>
        </w:rPr>
        <w:t>三</w:t>
      </w:r>
      <w:r>
        <w:rPr>
          <w:rFonts w:hint="eastAsia" w:ascii="仿宋_GB2312" w:hAnsi="仿宋_GB2312" w:eastAsia="仿宋_GB2312" w:cs="仿宋_GB2312"/>
          <w:spacing w:val="6"/>
          <w:w w:val="95"/>
        </w:rPr>
        <w:t>）旅</w:t>
      </w:r>
      <w:r>
        <w:rPr>
          <w:spacing w:val="6"/>
          <w:w w:val="95"/>
        </w:rPr>
        <w:t>游景区、工地营地或其他需要转移人员由企业、施工单位或相关单位自行负责，原则上不予补助。</w:t>
      </w:r>
    </w:p>
    <w:p>
      <w:pPr>
        <w:pStyle w:val="3"/>
        <w:keepNext w:val="0"/>
        <w:keepLines w:val="0"/>
        <w:pageBreakBefore w:val="0"/>
        <w:widowControl w:val="0"/>
        <w:tabs>
          <w:tab w:val="left" w:pos="2266"/>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十</w:t>
      </w:r>
      <w:r>
        <w:rPr>
          <w:rFonts w:hint="eastAsia" w:ascii="黑体" w:hAnsi="黑体" w:eastAsia="黑体" w:cs="黑体"/>
          <w:lang w:eastAsia="zh-CN"/>
        </w:rPr>
        <w:t>、</w:t>
      </w:r>
      <w:r>
        <w:rPr>
          <w:rFonts w:hint="eastAsia" w:ascii="黑体" w:eastAsia="黑体"/>
          <w:w w:val="95"/>
        </w:rPr>
        <w:t>灾害信息员补助</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rFonts w:hint="eastAsia" w:ascii="仿宋_GB2312" w:hAnsi="仿宋_GB2312" w:eastAsia="仿宋_GB2312" w:cs="仿宋_GB2312"/>
          <w:spacing w:val="6"/>
          <w:w w:val="95"/>
        </w:rPr>
      </w:pPr>
      <w:r>
        <w:rPr>
          <w:rFonts w:hint="eastAsia" w:ascii="仿宋_GB2312" w:hAnsi="仿宋_GB2312" w:eastAsia="仿宋_GB2312" w:cs="仿宋_GB2312"/>
          <w:spacing w:val="6"/>
          <w:w w:val="95"/>
        </w:rPr>
        <w:t>（一）灾害</w:t>
      </w:r>
      <w:r>
        <w:rPr>
          <w:spacing w:val="6"/>
          <w:w w:val="95"/>
        </w:rPr>
        <w:t>信息员补助，是指对村（社区）级灾害信息员在灾害应对中灾情统计报送、灾害隐患排查、传递预警信息、组织</w:t>
      </w:r>
      <w:r>
        <w:rPr>
          <w:rFonts w:hint="eastAsia" w:ascii="仿宋_GB2312" w:hAnsi="仿宋_GB2312" w:eastAsia="仿宋_GB2312" w:cs="仿宋_GB2312"/>
          <w:spacing w:val="6"/>
          <w:w w:val="95"/>
        </w:rPr>
        <w:t>转移群众等方面的通讯补助。</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（二）补</w:t>
      </w:r>
      <w:r>
        <w:rPr>
          <w:spacing w:val="6"/>
          <w:w w:val="95"/>
        </w:rPr>
        <w:t>助范围，全</w:t>
      </w:r>
      <w:r>
        <w:rPr>
          <w:rFonts w:hint="eastAsia"/>
          <w:spacing w:val="6"/>
          <w:w w:val="95"/>
          <w:lang w:eastAsia="zh-CN"/>
        </w:rPr>
        <w:t>区</w:t>
      </w:r>
      <w:r>
        <w:rPr>
          <w:spacing w:val="6"/>
          <w:w w:val="95"/>
        </w:rPr>
        <w:t>所有村（社区）级灾害信息员。</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w:t>
      </w:r>
      <w:r>
        <w:rPr>
          <w:rFonts w:hint="eastAsia" w:ascii="仿宋_GB2312" w:hAnsi="仿宋_GB2312" w:eastAsia="仿宋_GB2312" w:cs="仿宋_GB2312"/>
          <w:spacing w:val="6"/>
          <w:w w:val="95"/>
          <w:lang w:val="en-US" w:eastAsia="zh-CN"/>
        </w:rPr>
        <w:t>为</w:t>
      </w:r>
      <w:r>
        <w:rPr>
          <w:rFonts w:hint="eastAsia"/>
          <w:spacing w:val="6"/>
          <w:w w:val="95"/>
          <w:lang w:val="en-US" w:eastAsia="zh-CN"/>
        </w:rPr>
        <w:t>加强</w:t>
      </w:r>
      <w:r>
        <w:rPr>
          <w:spacing w:val="6"/>
          <w:w w:val="95"/>
        </w:rPr>
        <w:t>灾害</w:t>
      </w:r>
      <w:r>
        <w:rPr>
          <w:rFonts w:hint="eastAsia"/>
          <w:spacing w:val="6"/>
          <w:w w:val="95"/>
          <w:lang w:val="en-US" w:eastAsia="zh-CN"/>
        </w:rPr>
        <w:t>信息员队伍建设工作的资金保障，</w:t>
      </w:r>
      <w:r>
        <w:rPr>
          <w:rFonts w:hint="eastAsia"/>
          <w:spacing w:val="6"/>
          <w:w w:val="95"/>
          <w:lang w:eastAsia="zh-CN"/>
        </w:rPr>
        <w:t>由区财政按照</w:t>
      </w:r>
      <w:r>
        <w:rPr>
          <w:rFonts w:hint="default" w:ascii="Times New Roman" w:hAnsi="Times New Roman" w:cs="Times New Roman"/>
          <w:spacing w:val="6"/>
          <w:w w:val="95"/>
          <w:lang w:eastAsia="zh-CN"/>
        </w:rPr>
        <w:t>30</w:t>
      </w:r>
      <w:r>
        <w:rPr>
          <w:rFonts w:hint="eastAsia"/>
          <w:spacing w:val="6"/>
          <w:w w:val="95"/>
          <w:lang w:eastAsia="zh-CN"/>
        </w:rPr>
        <w:t>元/人</w:t>
      </w:r>
      <w:r>
        <w:rPr>
          <w:rFonts w:hint="eastAsia"/>
          <w:spacing w:val="6"/>
          <w:w w:val="95"/>
          <w:lang w:val="en-US" w:eastAsia="zh-CN"/>
        </w:rPr>
        <w:t>/</w:t>
      </w:r>
      <w:r>
        <w:rPr>
          <w:rFonts w:hint="eastAsia"/>
          <w:spacing w:val="6"/>
          <w:w w:val="95"/>
          <w:lang w:eastAsia="zh-CN"/>
        </w:rPr>
        <w:t>月的标准给予通讯补贴</w:t>
      </w:r>
      <w:r>
        <w:rPr>
          <w:spacing w:val="6"/>
          <w:w w:val="95"/>
        </w:rPr>
        <w:t>。村（社区）级灾害信息员名单，每年年初由乡镇（街道）提出申请报应急管理局备案， 年底由应急管理局向</w:t>
      </w:r>
      <w:r>
        <w:rPr>
          <w:rFonts w:hint="eastAsia"/>
          <w:spacing w:val="6"/>
          <w:w w:val="95"/>
          <w:lang w:eastAsia="zh-CN"/>
        </w:rPr>
        <w:t>党工委、管委会</w:t>
      </w:r>
      <w:r>
        <w:rPr>
          <w:spacing w:val="6"/>
          <w:w w:val="95"/>
        </w:rPr>
        <w:t>请示一次性划拨给乡镇（街道）。</w:t>
      </w:r>
    </w:p>
    <w:p>
      <w:pPr>
        <w:pStyle w:val="3"/>
        <w:keepNext w:val="0"/>
        <w:keepLines w:val="0"/>
        <w:pageBreakBefore w:val="0"/>
        <w:widowControl w:val="0"/>
        <w:tabs>
          <w:tab w:val="left" w:pos="2587"/>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十一</w:t>
      </w:r>
      <w:r>
        <w:rPr>
          <w:rFonts w:hint="eastAsia" w:ascii="黑体" w:hAnsi="黑体" w:eastAsia="黑体" w:cs="黑体"/>
          <w:lang w:eastAsia="zh-CN"/>
        </w:rPr>
        <w:t>、</w:t>
      </w:r>
      <w:r>
        <w:rPr>
          <w:rFonts w:hint="eastAsia" w:ascii="黑体" w:eastAsia="黑体"/>
        </w:rPr>
        <w:t>健全工作机制</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（一）各</w:t>
      </w:r>
      <w:r>
        <w:rPr>
          <w:spacing w:val="6"/>
          <w:w w:val="95"/>
        </w:rPr>
        <w:t>乡镇（街道）</w:t>
      </w:r>
      <w:r>
        <w:rPr>
          <w:rFonts w:hint="eastAsia"/>
          <w:spacing w:val="6"/>
          <w:w w:val="95"/>
          <w:lang w:eastAsia="zh-CN"/>
        </w:rPr>
        <w:t>、区</w:t>
      </w:r>
      <w:r>
        <w:rPr>
          <w:spacing w:val="6"/>
          <w:w w:val="95"/>
        </w:rPr>
        <w:t>级有关部门（单位）要高度重视， 建立健全紧急避险转移常态化工作机制，落实相关责任人员抓好紧急避险转移日常工作，做好转移后群众服务保障工作，坚决避免风险未解除但群众自行返回行为。</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rFonts w:hint="eastAsia" w:ascii="楷体_GB2312" w:hAnsi="楷体_GB2312" w:eastAsia="楷体_GB2312" w:cs="楷体_GB2312"/>
          <w:spacing w:val="6"/>
          <w:w w:val="95"/>
          <w:lang w:eastAsia="zh-CN"/>
        </w:rPr>
      </w:pPr>
      <w:r>
        <w:rPr>
          <w:rFonts w:hint="eastAsia" w:ascii="仿宋_GB2312" w:hAnsi="仿宋_GB2312" w:eastAsia="仿宋_GB2312" w:cs="仿宋_GB2312"/>
          <w:spacing w:val="6"/>
          <w:w w:val="95"/>
          <w:lang w:eastAsia="zh-CN"/>
        </w:rPr>
        <w:t>（二）进一步</w:t>
      </w:r>
      <w:r>
        <w:rPr>
          <w:rFonts w:hint="eastAsia"/>
          <w:spacing w:val="6"/>
          <w:w w:val="95"/>
          <w:lang w:eastAsia="zh-CN"/>
        </w:rPr>
        <w:t>细化工作措施，制定具有可操作性的实施方案， 坚决杜绝因灾导致人员伤亡。</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（三）实</w:t>
      </w:r>
      <w:r>
        <w:rPr>
          <w:spacing w:val="6"/>
          <w:w w:val="95"/>
        </w:rPr>
        <w:t>行转移报告制，即乡镇（街道）每次紧急避险转移群众情况立即向应急管理局报告。</w:t>
      </w:r>
    </w:p>
    <w:p>
      <w:pPr>
        <w:pStyle w:val="3"/>
        <w:keepNext w:val="0"/>
        <w:keepLines w:val="0"/>
        <w:pageBreakBefore w:val="0"/>
        <w:widowControl w:val="0"/>
        <w:tabs>
          <w:tab w:val="left" w:pos="2587"/>
        </w:tabs>
        <w:kinsoku/>
        <w:wordWrap/>
        <w:overflowPunct/>
        <w:topLinePunct w:val="0"/>
        <w:autoSpaceDE w:val="0"/>
        <w:autoSpaceDN w:val="0"/>
        <w:bidi w:val="0"/>
        <w:adjustRightInd/>
        <w:snapToGrid/>
        <w:spacing w:before="0" w:after="0" w:line="578" w:lineRule="exact"/>
        <w:ind w:left="0" w:right="0" w:firstLine="640" w:firstLineChars="200"/>
        <w:textAlignment w:val="auto"/>
        <w:rPr>
          <w:rFonts w:hint="eastAsia" w:ascii="黑体" w:eastAsia="黑体"/>
        </w:rPr>
      </w:pPr>
      <w:r>
        <w:rPr>
          <w:rFonts w:hint="eastAsia" w:ascii="黑体" w:eastAsia="黑体"/>
        </w:rPr>
        <w:t>十二</w:t>
      </w:r>
      <w:r>
        <w:rPr>
          <w:rFonts w:hint="eastAsia" w:ascii="黑体" w:hAnsi="黑体" w:eastAsia="黑体" w:cs="黑体"/>
          <w:lang w:eastAsia="zh-CN"/>
        </w:rPr>
        <w:t>、</w:t>
      </w:r>
      <w:r>
        <w:rPr>
          <w:rFonts w:hint="eastAsia" w:ascii="黑体" w:eastAsia="黑体"/>
        </w:rPr>
        <w:t>责任追究</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1"/>
        <w:jc w:val="both"/>
        <w:textAlignment w:val="auto"/>
        <w:rPr>
          <w:spacing w:val="6"/>
          <w:w w:val="95"/>
        </w:rPr>
      </w:pPr>
      <w:r>
        <w:rPr>
          <w:rFonts w:hint="eastAsia" w:ascii="仿宋_GB2312" w:hAnsi="仿宋_GB2312" w:eastAsia="仿宋_GB2312" w:cs="仿宋_GB2312"/>
          <w:spacing w:val="6"/>
          <w:w w:val="95"/>
        </w:rPr>
        <w:t>（一）各</w:t>
      </w:r>
      <w:r>
        <w:rPr>
          <w:spacing w:val="6"/>
          <w:w w:val="95"/>
        </w:rPr>
        <w:t>乡镇（街道）</w:t>
      </w:r>
      <w:r>
        <w:rPr>
          <w:rFonts w:hint="eastAsia"/>
          <w:spacing w:val="6"/>
          <w:w w:val="95"/>
          <w:lang w:eastAsia="zh-CN"/>
        </w:rPr>
        <w:t>、区</w:t>
      </w:r>
      <w:r>
        <w:rPr>
          <w:spacing w:val="6"/>
          <w:w w:val="95"/>
        </w:rPr>
        <w:t>级有关部门（单位）要按照“党政同责、一岗双责、齐抓共管、失职追责”要求，切实担负起“促 一方发展、保一方平安”的责任。</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rPr>
          <w:spacing w:val="6"/>
          <w:w w:val="95"/>
        </w:rPr>
      </w:pPr>
      <w:r>
        <w:rPr>
          <w:rFonts w:hint="eastAsia" w:ascii="仿宋_GB2312" w:hAnsi="仿宋_GB2312" w:eastAsia="仿宋_GB2312" w:cs="仿宋_GB2312"/>
          <w:spacing w:val="6"/>
          <w:w w:val="95"/>
        </w:rPr>
        <w:t>（二）健</w:t>
      </w:r>
      <w:r>
        <w:rPr>
          <w:spacing w:val="6"/>
          <w:w w:val="95"/>
        </w:rPr>
        <w:t>全完善检查督查、调查评估等制度，明确奖惩规定，对因工作不落实、不到位、组织不力造成人员伤亡或重大财产损失的责任人，要依规依纪依法严肃追究责任。</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640"/>
        <w:jc w:val="both"/>
        <w:textAlignment w:val="auto"/>
      </w:pPr>
      <w:r>
        <w:rPr>
          <w:rFonts w:hint="eastAsia" w:ascii="仿宋_GB2312" w:hAnsi="仿宋_GB2312" w:eastAsia="仿宋_GB2312" w:cs="仿宋_GB2312"/>
          <w:spacing w:val="6"/>
          <w:w w:val="95"/>
        </w:rPr>
        <w:t>（三）加强</w:t>
      </w:r>
      <w:r>
        <w:rPr>
          <w:spacing w:val="6"/>
          <w:w w:val="95"/>
        </w:rPr>
        <w:t>监督检查，做到实际转移人员与上报转移台账相符，</w:t>
      </w:r>
      <w:r>
        <w:rPr>
          <w:rFonts w:hint="eastAsia"/>
          <w:spacing w:val="6"/>
          <w:w w:val="95"/>
          <w:lang w:eastAsia="zh-CN"/>
        </w:rPr>
        <w:t>区</w:t>
      </w:r>
      <w:r>
        <w:rPr>
          <w:spacing w:val="6"/>
          <w:w w:val="95"/>
        </w:rPr>
        <w:t>防汛抗旱指挥部办公室将不定期对转移人员情况进行核查，坚决避免弄虚作假或套取财政资金行为。</w:t>
      </w:r>
    </w:p>
    <w:p>
      <w:pPr>
        <w:pStyle w:val="3"/>
        <w:keepNext w:val="0"/>
        <w:keepLines w:val="0"/>
        <w:pageBreakBefore w:val="0"/>
        <w:widowControl w:val="0"/>
        <w:kinsoku/>
        <w:wordWrap/>
        <w:overflowPunct/>
        <w:topLinePunct w:val="0"/>
        <w:autoSpaceDE w:val="0"/>
        <w:autoSpaceDN w:val="0"/>
        <w:bidi w:val="0"/>
        <w:adjustRightInd/>
        <w:snapToGrid/>
        <w:spacing w:before="0" w:line="336" w:lineRule="auto"/>
        <w:ind w:left="1718" w:right="0" w:hanging="1123"/>
        <w:jc w:val="left"/>
        <w:textAlignment w:val="auto"/>
        <w:rPr>
          <w:spacing w:val="-53"/>
          <w:w w:val="99"/>
        </w:rPr>
      </w:pPr>
    </w:p>
    <w:p>
      <w:pPr>
        <w:pStyle w:val="3"/>
        <w:keepNext w:val="0"/>
        <w:keepLines w:val="0"/>
        <w:pageBreakBefore w:val="0"/>
        <w:widowControl w:val="0"/>
        <w:kinsoku/>
        <w:wordWrap/>
        <w:overflowPunct/>
        <w:topLinePunct w:val="0"/>
        <w:autoSpaceDE w:val="0"/>
        <w:autoSpaceDN w:val="0"/>
        <w:bidi w:val="0"/>
        <w:adjustRightInd/>
        <w:snapToGrid/>
        <w:spacing w:before="0" w:line="336" w:lineRule="auto"/>
        <w:ind w:left="1718" w:right="0" w:hanging="1123"/>
        <w:jc w:val="left"/>
        <w:textAlignment w:val="auto"/>
        <w:rPr>
          <w:spacing w:val="-53"/>
          <w:w w:val="99"/>
        </w:rPr>
      </w:pPr>
    </w:p>
    <w:p>
      <w:pPr>
        <w:pStyle w:val="3"/>
        <w:keepNext w:val="0"/>
        <w:keepLines w:val="0"/>
        <w:pageBreakBefore w:val="0"/>
        <w:widowControl w:val="0"/>
        <w:kinsoku/>
        <w:wordWrap/>
        <w:overflowPunct/>
        <w:topLinePunct w:val="0"/>
        <w:autoSpaceDE w:val="0"/>
        <w:autoSpaceDN w:val="0"/>
        <w:bidi w:val="0"/>
        <w:adjustRightInd/>
        <w:snapToGrid/>
        <w:spacing w:before="0" w:line="578" w:lineRule="exact"/>
        <w:ind w:left="1406" w:right="0" w:hanging="811"/>
        <w:jc w:val="left"/>
        <w:textAlignment w:val="auto"/>
        <w:rPr>
          <w:rFonts w:hint="eastAsia"/>
          <w:sz w:val="32"/>
          <w:lang w:eastAsia="zh-CN"/>
        </w:rPr>
      </w:pPr>
      <w:r>
        <w:rPr>
          <w:spacing w:val="-53"/>
          <w:w w:val="99"/>
        </w:rPr>
        <w:t>附</w:t>
      </w:r>
      <w:r>
        <w:rPr>
          <w:rFonts w:hint="eastAsia"/>
          <w:spacing w:val="-53"/>
          <w:w w:val="99"/>
          <w:lang w:val="en-US" w:eastAsia="zh-CN"/>
        </w:rPr>
        <w:t xml:space="preserve">  </w:t>
      </w:r>
      <w:r>
        <w:rPr>
          <w:spacing w:val="-53"/>
          <w:w w:val="99"/>
        </w:rPr>
        <w:t>件</w:t>
      </w:r>
      <w:r>
        <w:rPr>
          <w:rFonts w:hint="eastAsia"/>
          <w:spacing w:val="-53"/>
          <w:w w:val="99"/>
          <w:lang w:val="en-US" w:eastAsia="zh-CN"/>
        </w:rPr>
        <w:t xml:space="preserve">  </w:t>
      </w:r>
      <w:r>
        <w:rPr>
          <w:spacing w:val="-53"/>
          <w:w w:val="99"/>
        </w:rPr>
        <w:t>：</w:t>
      </w:r>
      <w:r>
        <w:rPr>
          <w:rFonts w:ascii="Times New Roman" w:eastAsia="Times New Roman"/>
          <w:spacing w:val="1"/>
          <w:w w:val="99"/>
        </w:rPr>
        <w:t>1</w:t>
      </w:r>
      <w:r>
        <w:rPr>
          <w:rFonts w:ascii="Times New Roman" w:eastAsia="Times New Roman"/>
          <w:w w:val="99"/>
        </w:rPr>
        <w:t>.</w:t>
      </w:r>
      <w:r>
        <w:rPr>
          <w:spacing w:val="6"/>
          <w:w w:val="95"/>
        </w:rPr>
        <w:t>达州市人民政府办公室关于灾害性天气受威胁群众紧急避险转移工作的实施意见（</w:t>
      </w:r>
      <w:r>
        <w:rPr>
          <w:sz w:val="32"/>
        </w:rPr>
        <w:t>达市府办发〔</w:t>
      </w:r>
      <w:r>
        <w:rPr>
          <w:rFonts w:hint="default" w:ascii="Times New Roman" w:hAnsi="Times New Roman" w:cs="Times New Roman"/>
          <w:sz w:val="32"/>
        </w:rPr>
        <w:t>2023</w:t>
      </w:r>
      <w:r>
        <w:rPr>
          <w:sz w:val="32"/>
        </w:rPr>
        <w:t>〕</w:t>
      </w:r>
      <w:r>
        <w:rPr>
          <w:rFonts w:hint="default" w:ascii="Times New Roman" w:hAnsi="Times New Roman" w:cs="Times New Roman"/>
          <w:sz w:val="32"/>
        </w:rPr>
        <w:t>21</w:t>
      </w:r>
      <w:r>
        <w:rPr>
          <w:rFonts w:hint="eastAsia" w:ascii="Times New Roman" w:hAnsi="Times New Roman" w:cs="Times New Roman"/>
          <w:sz w:val="32"/>
          <w:lang w:eastAsia="zh-CN"/>
        </w:rPr>
        <w:t>号</w:t>
      </w:r>
      <w:r>
        <w:rPr>
          <w:rFonts w:hint="eastAsia" w:ascii="楷体_GB2312" w:hAnsi="楷体_GB2312" w:eastAsia="楷体_GB2312" w:cs="楷体_GB2312"/>
          <w:spacing w:val="6"/>
          <w:w w:val="95"/>
        </w:rPr>
        <w:t>）</w:t>
      </w: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line="578" w:lineRule="exact"/>
        <w:ind w:left="1395" w:leftChars="0" w:right="0" w:rightChars="0"/>
        <w:jc w:val="left"/>
        <w:textAlignment w:val="auto"/>
        <w:rPr>
          <w:rFonts w:hint="default"/>
          <w:sz w:val="32"/>
          <w:lang w:val="en-US" w:eastAsia="zh-CN"/>
        </w:rPr>
      </w:pPr>
      <w:r>
        <w:rPr>
          <w:rFonts w:hint="default" w:ascii="Times New Roman" w:hAnsi="Times New Roman" w:eastAsia="Times New Roman" w:cs="Times New Roman"/>
          <w:w w:val="99"/>
        </w:rPr>
        <w:t>XXXX</w:t>
      </w:r>
      <w:r>
        <w:rPr>
          <w:w w:val="99"/>
        </w:rPr>
        <w:t>灾害点根据不同预警等级需紧急避险转移人</w:t>
      </w:r>
      <w:r>
        <w:t>员统计表</w:t>
      </w: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line="578" w:lineRule="exact"/>
        <w:ind w:left="1395" w:leftChars="0" w:right="0" w:rightChars="0"/>
        <w:jc w:val="left"/>
        <w:textAlignment w:val="auto"/>
        <w:rPr>
          <w:rFonts w:hint="default"/>
          <w:sz w:val="32"/>
          <w:lang w:val="en-US" w:eastAsia="zh-CN"/>
        </w:rPr>
      </w:pPr>
      <w:r>
        <w:rPr>
          <w:rFonts w:ascii="Times New Roman" w:eastAsia="Times New Roman"/>
          <w:sz w:val="32"/>
        </w:rPr>
        <w:t>XXXX</w:t>
      </w:r>
      <w:r>
        <w:rPr>
          <w:sz w:val="32"/>
        </w:rPr>
        <w:t>灾害紧急避险转移人员汇总表</w:t>
      </w: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line="578" w:lineRule="exact"/>
        <w:ind w:left="1395" w:leftChars="0" w:right="0" w:rightChars="0"/>
        <w:jc w:val="left"/>
        <w:textAlignment w:val="auto"/>
        <w:rPr>
          <w:rFonts w:hint="default"/>
          <w:sz w:val="32"/>
          <w:lang w:val="en-US" w:eastAsia="zh-CN"/>
        </w:rPr>
      </w:pPr>
      <w:r>
        <w:rPr>
          <w:rFonts w:ascii="Times New Roman" w:eastAsia="Times New Roman"/>
          <w:sz w:val="32"/>
        </w:rPr>
        <w:t>XXXX</w:t>
      </w:r>
      <w:r>
        <w:rPr>
          <w:sz w:val="32"/>
        </w:rPr>
        <w:t>灾害点紧急避险转移人员台账</w:t>
      </w: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left="1417" w:leftChars="0" w:right="0" w:rightChars="0"/>
        <w:jc w:val="left"/>
        <w:textAlignment w:val="auto"/>
        <w:rPr>
          <w:rFonts w:ascii="仿宋_GB2312" w:hAnsi="仿宋_GB2312" w:eastAsia="仿宋_GB2312" w:cs="仿宋_GB2312"/>
          <w:sz w:val="32"/>
          <w:szCs w:val="32"/>
          <w:lang w:val="en-US" w:eastAsia="en-US" w:bidi="ar-SA"/>
        </w:rPr>
      </w:pP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left="1417" w:leftChars="0" w:right="0" w:rightChars="0"/>
        <w:jc w:val="left"/>
        <w:textAlignment w:val="auto"/>
        <w:rPr>
          <w:rFonts w:ascii="仿宋_GB2312" w:hAnsi="仿宋_GB2312" w:eastAsia="仿宋_GB2312" w:cs="仿宋_GB2312"/>
          <w:sz w:val="32"/>
          <w:szCs w:val="32"/>
          <w:lang w:val="en-US" w:eastAsia="en-US" w:bidi="ar-SA"/>
        </w:rPr>
      </w:pP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3757" w:firstLineChars="1189"/>
        <w:jc w:val="both"/>
        <w:textAlignment w:val="auto"/>
        <w:rPr>
          <w:rFonts w:hint="default"/>
          <w:spacing w:val="6"/>
          <w:w w:val="95"/>
          <w:lang w:val="en-US" w:eastAsia="zh-CN"/>
        </w:rPr>
      </w:pPr>
      <w:r>
        <w:rPr>
          <w:rFonts w:hint="eastAsia"/>
          <w:spacing w:val="6"/>
          <w:w w:val="95"/>
          <w:lang w:val="en-US" w:eastAsia="zh-CN"/>
        </w:rPr>
        <w:t>达州高新技术产业园区党政办公室</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firstLine="5334" w:firstLineChars="1688"/>
        <w:jc w:val="both"/>
        <w:textAlignment w:val="auto"/>
        <w:rPr>
          <w:rFonts w:hint="default" w:ascii="Times New Roman" w:hAnsi="Times New Roman" w:cs="Times New Roman"/>
          <w:spacing w:val="6"/>
          <w:w w:val="95"/>
          <w:lang w:val="en-US" w:eastAsia="zh-CN"/>
        </w:rPr>
      </w:pPr>
      <w:r>
        <w:rPr>
          <w:rFonts w:hint="default" w:ascii="Times New Roman" w:hAnsi="Times New Roman" w:cs="Times New Roman"/>
          <w:spacing w:val="6"/>
          <w:w w:val="95"/>
          <w:lang w:val="en-US" w:eastAsia="zh-CN"/>
        </w:rPr>
        <w:t>2023年11月12日</w:t>
      </w: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left="1417" w:leftChars="0" w:right="0" w:rightChars="0"/>
        <w:jc w:val="left"/>
        <w:textAlignment w:val="auto"/>
        <w:rPr>
          <w:rFonts w:ascii="仿宋_GB2312" w:hAnsi="仿宋_GB2312" w:eastAsia="仿宋_GB2312" w:cs="仿宋_GB2312"/>
          <w:sz w:val="32"/>
          <w:szCs w:val="32"/>
          <w:lang w:val="en-US" w:eastAsia="en-US" w:bidi="ar-SA"/>
        </w:rPr>
      </w:pP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left="1417" w:leftChars="0" w:right="0" w:rightChars="0"/>
        <w:jc w:val="left"/>
        <w:textAlignment w:val="auto"/>
        <w:rPr>
          <w:rFonts w:ascii="仿宋_GB2312" w:hAnsi="仿宋_GB2312" w:eastAsia="仿宋_GB2312" w:cs="仿宋_GB2312"/>
          <w:sz w:val="32"/>
          <w:szCs w:val="32"/>
          <w:lang w:val="en-US" w:eastAsia="en-US" w:bidi="ar-SA"/>
        </w:rPr>
      </w:pP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left="1417" w:leftChars="0" w:right="0" w:rightChars="0"/>
        <w:jc w:val="left"/>
        <w:textAlignment w:val="auto"/>
        <w:rPr>
          <w:rFonts w:ascii="仿宋_GB2312" w:hAnsi="仿宋_GB2312" w:eastAsia="仿宋_GB2312" w:cs="仿宋_GB2312"/>
          <w:sz w:val="32"/>
          <w:szCs w:val="32"/>
          <w:lang w:val="en-US" w:eastAsia="en-US" w:bidi="ar-SA"/>
        </w:rPr>
      </w:pP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pPr>
      <w:r>
        <w:rPr>
          <w:rFonts w:hint="eastAsia" w:ascii="黑体" w:eastAsia="黑体"/>
        </w:rPr>
        <w:t>附件 1</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pPr>
      <w:r>
        <w:drawing>
          <wp:anchor distT="0" distB="0" distL="114300" distR="114300" simplePos="0" relativeHeight="251659264" behindDoc="0" locked="0" layoutInCell="1" allowOverlap="1">
            <wp:simplePos x="0" y="0"/>
            <wp:positionH relativeFrom="column">
              <wp:posOffset>635</wp:posOffset>
            </wp:positionH>
            <wp:positionV relativeFrom="paragraph">
              <wp:posOffset>537210</wp:posOffset>
            </wp:positionV>
            <wp:extent cx="5659755" cy="7200265"/>
            <wp:effectExtent l="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rcRect l="12923" t="11252" r="11047" b="5049"/>
                    <a:stretch>
                      <a:fillRect/>
                    </a:stretch>
                  </pic:blipFill>
                  <pic:spPr>
                    <a:xfrm>
                      <a:off x="0" y="0"/>
                      <a:ext cx="5659755" cy="7200265"/>
                    </a:xfrm>
                    <a:prstGeom prst="rect">
                      <a:avLst/>
                    </a:prstGeom>
                    <a:noFill/>
                    <a:ln>
                      <a:noFill/>
                    </a:ln>
                  </pic:spPr>
                </pic:pic>
              </a:graphicData>
            </a:graphic>
          </wp:anchor>
        </w:drawing>
      </w:r>
      <w:r>
        <w:drawing>
          <wp:inline distT="0" distB="0" distL="114300" distR="114300">
            <wp:extent cx="5617210" cy="64909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617210" cy="6490970"/>
                    </a:xfrm>
                    <a:prstGeom prst="rect">
                      <a:avLst/>
                    </a:prstGeom>
                    <a:noFill/>
                    <a:ln>
                      <a:noFill/>
                    </a:ln>
                  </pic:spPr>
                </pic:pic>
              </a:graphicData>
            </a:graphic>
          </wp:inline>
        </w:drawing>
      </w:r>
      <w:r>
        <w:drawing>
          <wp:inline distT="0" distB="0" distL="114300" distR="114300">
            <wp:extent cx="5617210" cy="6490970"/>
            <wp:effectExtent l="0" t="0" r="254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617210" cy="6490970"/>
                    </a:xfrm>
                    <a:prstGeom prst="rect">
                      <a:avLst/>
                    </a:prstGeom>
                    <a:noFill/>
                    <a:ln>
                      <a:noFill/>
                    </a:ln>
                  </pic:spPr>
                </pic:pic>
              </a:graphicData>
            </a:graphic>
          </wp:inline>
        </w:drawing>
      </w:r>
    </w:p>
    <w:p>
      <w:pPr>
        <w:pStyle w:val="8"/>
        <w:keepNext w:val="0"/>
        <w:keepLines w:val="0"/>
        <w:pageBreakBefore w:val="0"/>
        <w:widowControl w:val="0"/>
        <w:numPr>
          <w:ilvl w:val="0"/>
          <w:numId w:val="0"/>
        </w:numPr>
        <w:tabs>
          <w:tab w:val="left" w:pos="2108"/>
        </w:tabs>
        <w:kinsoku/>
        <w:wordWrap/>
        <w:overflowPunct/>
        <w:topLinePunct w:val="0"/>
        <w:autoSpaceDE w:val="0"/>
        <w:autoSpaceDN w:val="0"/>
        <w:bidi w:val="0"/>
        <w:adjustRightInd/>
        <w:snapToGrid/>
        <w:spacing w:before="6" w:after="0" w:line="240" w:lineRule="auto"/>
        <w:ind w:right="0" w:rightChars="0"/>
        <w:jc w:val="left"/>
        <w:textAlignment w:val="auto"/>
        <w:rPr>
          <w:rFonts w:ascii="仿宋_GB2312" w:hAnsi="仿宋_GB2312" w:eastAsia="仿宋_GB2312" w:cs="仿宋_GB2312"/>
          <w:sz w:val="32"/>
          <w:szCs w:val="32"/>
          <w:lang w:val="en-US" w:eastAsia="en-US" w:bidi="ar-SA"/>
        </w:rPr>
        <w:sectPr>
          <w:pgSz w:w="11910" w:h="16840"/>
          <w:pgMar w:top="2098" w:right="1474" w:bottom="1984" w:left="1587" w:header="0" w:footer="1214" w:gutter="0"/>
          <w:pgNumType w:fmt="decimal"/>
          <w:cols w:space="720" w:num="1"/>
        </w:sectPr>
      </w:pP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0288" behindDoc="0" locked="0" layoutInCell="1" allowOverlap="1">
            <wp:simplePos x="0" y="0"/>
            <wp:positionH relativeFrom="column">
              <wp:posOffset>1905</wp:posOffset>
            </wp:positionH>
            <wp:positionV relativeFrom="paragraph">
              <wp:posOffset>-226060</wp:posOffset>
            </wp:positionV>
            <wp:extent cx="5619750" cy="8328660"/>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rcRect l="13414" t="1900" r="11261"/>
                    <a:stretch>
                      <a:fillRect/>
                    </a:stretch>
                  </pic:blipFill>
                  <pic:spPr>
                    <a:xfrm>
                      <a:off x="0" y="0"/>
                      <a:ext cx="5619750" cy="832866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1312" behindDoc="0" locked="0" layoutInCell="1" allowOverlap="1">
            <wp:simplePos x="0" y="0"/>
            <wp:positionH relativeFrom="column">
              <wp:posOffset>635</wp:posOffset>
            </wp:positionH>
            <wp:positionV relativeFrom="paragraph">
              <wp:posOffset>-241300</wp:posOffset>
            </wp:positionV>
            <wp:extent cx="5675630" cy="8341995"/>
            <wp:effectExtent l="0" t="0" r="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rcRect l="13291" t="3913" r="11239"/>
                    <a:stretch>
                      <a:fillRect/>
                    </a:stretch>
                  </pic:blipFill>
                  <pic:spPr>
                    <a:xfrm>
                      <a:off x="0" y="0"/>
                      <a:ext cx="5675630" cy="8341995"/>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2336" behindDoc="0" locked="0" layoutInCell="1" allowOverlap="1">
            <wp:simplePos x="0" y="0"/>
            <wp:positionH relativeFrom="column">
              <wp:posOffset>-5715</wp:posOffset>
            </wp:positionH>
            <wp:positionV relativeFrom="paragraph">
              <wp:posOffset>-259715</wp:posOffset>
            </wp:positionV>
            <wp:extent cx="5651500" cy="8354060"/>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rcRect l="13521" t="5407" r="11177"/>
                    <a:stretch>
                      <a:fillRect/>
                    </a:stretch>
                  </pic:blipFill>
                  <pic:spPr>
                    <a:xfrm>
                      <a:off x="0" y="0"/>
                      <a:ext cx="5651500" cy="835406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3360" behindDoc="0" locked="0" layoutInCell="1" allowOverlap="1">
            <wp:simplePos x="0" y="0"/>
            <wp:positionH relativeFrom="column">
              <wp:posOffset>-1905</wp:posOffset>
            </wp:positionH>
            <wp:positionV relativeFrom="paragraph">
              <wp:posOffset>-273685</wp:posOffset>
            </wp:positionV>
            <wp:extent cx="5619750" cy="8369935"/>
            <wp:effectExtent l="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rcRect l="12281" r="12764"/>
                    <a:stretch>
                      <a:fillRect/>
                    </a:stretch>
                  </pic:blipFill>
                  <pic:spPr>
                    <a:xfrm>
                      <a:off x="0" y="0"/>
                      <a:ext cx="5619750" cy="8369935"/>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4384" behindDoc="0" locked="0" layoutInCell="1" allowOverlap="1">
            <wp:simplePos x="0" y="0"/>
            <wp:positionH relativeFrom="column">
              <wp:posOffset>3810</wp:posOffset>
            </wp:positionH>
            <wp:positionV relativeFrom="paragraph">
              <wp:posOffset>-216535</wp:posOffset>
            </wp:positionV>
            <wp:extent cx="5674995" cy="8310880"/>
            <wp:effectExtent l="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rcRect l="14061" r="10375"/>
                    <a:stretch>
                      <a:fillRect/>
                    </a:stretch>
                  </pic:blipFill>
                  <pic:spPr>
                    <a:xfrm>
                      <a:off x="0" y="0"/>
                      <a:ext cx="5674995" cy="831088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5408" behindDoc="0" locked="0" layoutInCell="1" allowOverlap="1">
            <wp:simplePos x="0" y="0"/>
            <wp:positionH relativeFrom="column">
              <wp:posOffset>-635</wp:posOffset>
            </wp:positionH>
            <wp:positionV relativeFrom="paragraph">
              <wp:posOffset>-142240</wp:posOffset>
            </wp:positionV>
            <wp:extent cx="5651500" cy="8243570"/>
            <wp:effectExtent l="0" t="0" r="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rcRect l="12371" t="605" r="12116"/>
                    <a:stretch>
                      <a:fillRect/>
                    </a:stretch>
                  </pic:blipFill>
                  <pic:spPr>
                    <a:xfrm>
                      <a:off x="0" y="0"/>
                      <a:ext cx="5651500" cy="824357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rPr>
        <w:sectPr>
          <w:pgSz w:w="11910" w:h="16840"/>
          <w:pgMar w:top="2098" w:right="1474" w:bottom="1984" w:left="1587" w:header="0" w:footer="1214" w:gutter="0"/>
          <w:pgNumType w:fmt="decimal"/>
          <w:cols w:space="720" w:num="1"/>
        </w:sectPr>
      </w:pPr>
      <w:r>
        <w:drawing>
          <wp:anchor distT="0" distB="0" distL="114300" distR="114300" simplePos="0" relativeHeight="251666432" behindDoc="0" locked="0" layoutInCell="1" allowOverlap="1">
            <wp:simplePos x="0" y="0"/>
            <wp:positionH relativeFrom="column">
              <wp:posOffset>0</wp:posOffset>
            </wp:positionH>
            <wp:positionV relativeFrom="paragraph">
              <wp:posOffset>-229235</wp:posOffset>
            </wp:positionV>
            <wp:extent cx="5651500" cy="8329930"/>
            <wp:effectExtent l="0" t="0" r="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rcRect l="14227" t="4935" r="10176"/>
                    <a:stretch>
                      <a:fillRect/>
                    </a:stretch>
                  </pic:blipFill>
                  <pic:spPr>
                    <a:xfrm>
                      <a:off x="0" y="0"/>
                      <a:ext cx="5651500" cy="832993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rFonts w:hint="eastAsia" w:ascii="黑体" w:eastAsia="黑体"/>
          <w:lang w:val="en-US" w:eastAsia="zh-CN"/>
        </w:rPr>
      </w:pPr>
      <w:r>
        <w:rPr>
          <w:rFonts w:hint="eastAsia" w:ascii="黑体" w:eastAsia="黑体"/>
        </w:rPr>
        <w:t xml:space="preserve">附件 </w:t>
      </w:r>
      <w:r>
        <w:rPr>
          <w:rFonts w:hint="eastAsia" w:ascii="黑体" w:eastAsia="黑体"/>
          <w:lang w:val="en-US" w:eastAsia="zh-CN"/>
        </w:rPr>
        <w:t>2</w:t>
      </w:r>
    </w:p>
    <w:p>
      <w:pPr>
        <w:pStyle w:val="3"/>
        <w:rPr>
          <w:rFonts w:ascii="Times New Roman"/>
          <w:sz w:val="34"/>
        </w:rPr>
      </w:pPr>
    </w:p>
    <w:p>
      <w:pPr>
        <w:pStyle w:val="2"/>
        <w:keepNext w:val="0"/>
        <w:keepLines w:val="0"/>
        <w:pageBreakBefore w:val="0"/>
        <w:widowControl w:val="0"/>
        <w:kinsoku/>
        <w:wordWrap/>
        <w:overflowPunct/>
        <w:topLinePunct w:val="0"/>
        <w:autoSpaceDE w:val="0"/>
        <w:autoSpaceDN w:val="0"/>
        <w:bidi w:val="0"/>
        <w:adjustRightInd/>
        <w:snapToGrid/>
        <w:spacing w:before="288" w:line="578" w:lineRule="exact"/>
        <w:ind w:left="0" w:right="0" w:firstLine="0"/>
        <w:jc w:val="center"/>
        <w:textAlignment w:val="auto"/>
        <w:rPr>
          <w:rFonts w:ascii="Times New Roman" w:hAnsi="Times New Roman" w:eastAsia="方正小标宋_GBK"/>
          <w:sz w:val="44"/>
        </w:rPr>
      </w:pPr>
      <w:r>
        <w:rPr>
          <w:rFonts w:ascii="Times New Roman" w:hAnsi="Times New Roman" w:eastAsia="方正小标宋_GBK"/>
          <w:sz w:val="44"/>
        </w:rPr>
        <w:t>XXXX 灾害点根据不同预警等级</w:t>
      </w:r>
    </w:p>
    <w:p>
      <w:pPr>
        <w:pStyle w:val="2"/>
        <w:keepNext w:val="0"/>
        <w:keepLines w:val="0"/>
        <w:pageBreakBefore w:val="0"/>
        <w:widowControl w:val="0"/>
        <w:kinsoku/>
        <w:wordWrap/>
        <w:overflowPunct/>
        <w:topLinePunct w:val="0"/>
        <w:autoSpaceDE w:val="0"/>
        <w:autoSpaceDN w:val="0"/>
        <w:bidi w:val="0"/>
        <w:adjustRightInd/>
        <w:snapToGrid/>
        <w:spacing w:before="0" w:line="578" w:lineRule="exact"/>
        <w:ind w:left="0" w:right="0" w:firstLine="0"/>
        <w:jc w:val="center"/>
        <w:textAlignment w:val="auto"/>
        <w:rPr>
          <w:rFonts w:ascii="Times New Roman" w:hAnsi="Times New Roman" w:eastAsia="方正小标宋_GBK"/>
          <w:sz w:val="44"/>
        </w:rPr>
      </w:pPr>
      <w:r>
        <w:rPr>
          <w:rFonts w:ascii="Times New Roman" w:hAnsi="Times New Roman" w:eastAsia="方正小标宋_GBK"/>
          <w:sz w:val="44"/>
        </w:rPr>
        <w:t>需紧急避险转移人员统计表</w:t>
      </w:r>
    </w:p>
    <w:p>
      <w:pPr>
        <w:pStyle w:val="3"/>
        <w:spacing w:before="16"/>
        <w:rPr>
          <w:rFonts w:ascii="方正小标宋简体"/>
          <w:sz w:val="36"/>
        </w:rPr>
      </w:pPr>
    </w:p>
    <w:p>
      <w:pPr>
        <w:pStyle w:val="3"/>
        <w:tabs>
          <w:tab w:val="left" w:pos="4827"/>
          <w:tab w:val="left" w:pos="6907"/>
          <w:tab w:val="left" w:pos="7546"/>
          <w:tab w:val="left" w:pos="8187"/>
        </w:tabs>
        <w:spacing w:after="26"/>
        <w:ind w:left="346"/>
      </w:pPr>
      <w:r>
        <w:rPr>
          <w:w w:val="99"/>
        </w:rPr>
        <w:t>填</w:t>
      </w:r>
      <w:r>
        <w:rPr>
          <w:spacing w:val="2"/>
          <w:w w:val="99"/>
        </w:rPr>
        <w:t>报</w:t>
      </w:r>
      <w:r>
        <w:rPr>
          <w:w w:val="99"/>
        </w:rPr>
        <w:t>单位</w:t>
      </w:r>
      <w:r>
        <w:rPr>
          <w:spacing w:val="2"/>
          <w:w w:val="99"/>
        </w:rPr>
        <w:t>（</w:t>
      </w:r>
      <w:r>
        <w:rPr>
          <w:w w:val="99"/>
        </w:rPr>
        <w:t>盖</w:t>
      </w:r>
      <w:r>
        <w:rPr>
          <w:spacing w:val="2"/>
          <w:w w:val="99"/>
        </w:rPr>
        <w:t>章</w:t>
      </w:r>
      <w:r>
        <w:rPr>
          <w:rFonts w:hint="eastAsia"/>
          <w:spacing w:val="2"/>
          <w:w w:val="99"/>
          <w:lang w:eastAsia="zh-CN"/>
        </w:rPr>
        <w:t>）：</w:t>
      </w:r>
      <w:r>
        <w:rPr>
          <w:rFonts w:hint="eastAsia"/>
          <w:spacing w:val="2"/>
          <w:w w:val="99"/>
          <w:lang w:val="en-US" w:eastAsia="zh-CN"/>
        </w:rPr>
        <w:t xml:space="preserve">          </w:t>
      </w:r>
      <w:r>
        <w:rPr>
          <w:w w:val="99"/>
        </w:rPr>
        <w:t>填</w:t>
      </w:r>
      <w:r>
        <w:rPr>
          <w:spacing w:val="2"/>
          <w:w w:val="99"/>
        </w:rPr>
        <w:t>报</w:t>
      </w:r>
      <w:r>
        <w:rPr>
          <w:w w:val="99"/>
        </w:rPr>
        <w:t>时间：</w:t>
      </w:r>
      <w:r>
        <w:tab/>
      </w:r>
      <w:r>
        <w:rPr>
          <w:w w:val="99"/>
        </w:rPr>
        <w:t>年</w:t>
      </w:r>
      <w:r>
        <w:tab/>
      </w:r>
      <w:r>
        <w:rPr>
          <w:w w:val="99"/>
        </w:rPr>
        <w:t>月</w:t>
      </w:r>
      <w:r>
        <w:tab/>
      </w:r>
      <w:r>
        <w:rPr>
          <w:w w:val="99"/>
        </w:rPr>
        <w:t>日</w:t>
      </w:r>
    </w:p>
    <w:tbl>
      <w:tblPr>
        <w:tblStyle w:val="6"/>
        <w:tblW w:w="0" w:type="auto"/>
        <w:tblInd w:w="3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662"/>
        <w:gridCol w:w="5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944" w:type="dxa"/>
          </w:tcPr>
          <w:p>
            <w:pPr>
              <w:pStyle w:val="9"/>
              <w:spacing w:before="144"/>
              <w:ind w:left="88" w:right="166"/>
              <w:jc w:val="center"/>
              <w:rPr>
                <w:sz w:val="32"/>
              </w:rPr>
            </w:pPr>
            <w:r>
              <w:rPr>
                <w:sz w:val="32"/>
              </w:rPr>
              <w:t>序号</w:t>
            </w:r>
          </w:p>
        </w:tc>
        <w:tc>
          <w:tcPr>
            <w:tcW w:w="1662" w:type="dxa"/>
          </w:tcPr>
          <w:p>
            <w:pPr>
              <w:pStyle w:val="9"/>
              <w:spacing w:before="144"/>
              <w:ind w:left="106"/>
              <w:rPr>
                <w:sz w:val="32"/>
              </w:rPr>
            </w:pPr>
            <w:r>
              <w:rPr>
                <w:sz w:val="32"/>
              </w:rPr>
              <w:t>预警等级</w:t>
            </w:r>
          </w:p>
        </w:tc>
        <w:tc>
          <w:tcPr>
            <w:tcW w:w="5723" w:type="dxa"/>
          </w:tcPr>
          <w:p>
            <w:pPr>
              <w:pStyle w:val="9"/>
              <w:spacing w:before="144"/>
              <w:ind w:left="108"/>
              <w:rPr>
                <w:rFonts w:hint="eastAsia" w:eastAsia="仿宋_GB2312"/>
                <w:sz w:val="32"/>
                <w:lang w:eastAsia="zh-CN"/>
              </w:rPr>
            </w:pPr>
            <w:r>
              <w:rPr>
                <w:sz w:val="32"/>
              </w:rPr>
              <w:t>按照应急预案需紧急避险转移</w:t>
            </w:r>
            <w:r>
              <w:rPr>
                <w:rFonts w:hint="eastAsia"/>
                <w:sz w:val="32"/>
                <w:lang w:eastAsia="zh-CN"/>
              </w:rPr>
              <w:t>户数人数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944" w:type="dxa"/>
          </w:tcPr>
          <w:p>
            <w:pPr>
              <w:pStyle w:val="9"/>
              <w:spacing w:before="165"/>
              <w:ind w:left="7"/>
              <w:jc w:val="center"/>
              <w:rPr>
                <w:rFonts w:ascii="Times New Roman"/>
                <w:sz w:val="32"/>
              </w:rPr>
            </w:pPr>
            <w:r>
              <w:rPr>
                <w:rFonts w:ascii="Times New Roman"/>
                <w:w w:val="99"/>
                <w:sz w:val="32"/>
              </w:rPr>
              <w:t>1</w:t>
            </w:r>
          </w:p>
        </w:tc>
        <w:tc>
          <w:tcPr>
            <w:tcW w:w="1662" w:type="dxa"/>
          </w:tcPr>
          <w:p>
            <w:pPr>
              <w:pStyle w:val="9"/>
              <w:spacing w:before="143"/>
              <w:ind w:left="510"/>
              <w:rPr>
                <w:sz w:val="32"/>
              </w:rPr>
            </w:pPr>
            <w:r>
              <w:rPr>
                <w:sz w:val="32"/>
              </w:rPr>
              <w:t>蓝色</w:t>
            </w:r>
          </w:p>
        </w:tc>
        <w:tc>
          <w:tcPr>
            <w:tcW w:w="5723" w:type="dxa"/>
          </w:tcPr>
          <w:p>
            <w:pPr>
              <w:pStyle w:val="9"/>
              <w:rPr>
                <w:rFonts w:ascii="Times New Roman"/>
                <w:sz w:val="3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944" w:type="dxa"/>
          </w:tcPr>
          <w:p>
            <w:pPr>
              <w:pStyle w:val="9"/>
              <w:spacing w:before="166"/>
              <w:ind w:left="7"/>
              <w:jc w:val="center"/>
              <w:rPr>
                <w:rFonts w:ascii="Times New Roman"/>
                <w:sz w:val="32"/>
              </w:rPr>
            </w:pPr>
            <w:r>
              <w:rPr>
                <w:rFonts w:ascii="Times New Roman"/>
                <w:w w:val="99"/>
                <w:sz w:val="32"/>
              </w:rPr>
              <w:t>2</w:t>
            </w:r>
          </w:p>
        </w:tc>
        <w:tc>
          <w:tcPr>
            <w:tcW w:w="1662" w:type="dxa"/>
          </w:tcPr>
          <w:p>
            <w:pPr>
              <w:pStyle w:val="9"/>
              <w:spacing w:before="145"/>
              <w:ind w:left="510"/>
              <w:rPr>
                <w:sz w:val="32"/>
              </w:rPr>
            </w:pPr>
            <w:r>
              <w:rPr>
                <w:sz w:val="32"/>
              </w:rPr>
              <w:t>黄色</w:t>
            </w:r>
          </w:p>
        </w:tc>
        <w:tc>
          <w:tcPr>
            <w:tcW w:w="5723" w:type="dxa"/>
          </w:tcPr>
          <w:p>
            <w:pPr>
              <w:pStyle w:val="9"/>
              <w:rPr>
                <w:rFonts w:ascii="Times New Roman"/>
                <w:sz w:val="3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944" w:type="dxa"/>
          </w:tcPr>
          <w:p>
            <w:pPr>
              <w:pStyle w:val="9"/>
              <w:spacing w:before="165"/>
              <w:ind w:left="7"/>
              <w:jc w:val="center"/>
              <w:rPr>
                <w:rFonts w:ascii="Times New Roman"/>
                <w:sz w:val="32"/>
              </w:rPr>
            </w:pPr>
            <w:r>
              <w:rPr>
                <w:rFonts w:ascii="Times New Roman"/>
                <w:w w:val="99"/>
                <w:sz w:val="32"/>
              </w:rPr>
              <w:t>3</w:t>
            </w:r>
          </w:p>
        </w:tc>
        <w:tc>
          <w:tcPr>
            <w:tcW w:w="1662" w:type="dxa"/>
          </w:tcPr>
          <w:p>
            <w:pPr>
              <w:pStyle w:val="9"/>
              <w:spacing w:before="144"/>
              <w:ind w:left="510"/>
              <w:rPr>
                <w:sz w:val="32"/>
              </w:rPr>
            </w:pPr>
            <w:r>
              <w:rPr>
                <w:sz w:val="32"/>
              </w:rPr>
              <w:t>橙色</w:t>
            </w:r>
          </w:p>
        </w:tc>
        <w:tc>
          <w:tcPr>
            <w:tcW w:w="5723" w:type="dxa"/>
          </w:tcPr>
          <w:p>
            <w:pPr>
              <w:pStyle w:val="9"/>
              <w:rPr>
                <w:rFonts w:ascii="Times New Roman"/>
                <w:sz w:val="3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944" w:type="dxa"/>
          </w:tcPr>
          <w:p>
            <w:pPr>
              <w:pStyle w:val="9"/>
              <w:spacing w:before="164"/>
              <w:ind w:left="7"/>
              <w:jc w:val="center"/>
              <w:rPr>
                <w:rFonts w:ascii="Times New Roman"/>
                <w:sz w:val="32"/>
              </w:rPr>
            </w:pPr>
            <w:r>
              <w:rPr>
                <w:rFonts w:ascii="Times New Roman"/>
                <w:w w:val="99"/>
                <w:sz w:val="32"/>
              </w:rPr>
              <w:t>4</w:t>
            </w:r>
          </w:p>
        </w:tc>
        <w:tc>
          <w:tcPr>
            <w:tcW w:w="1662" w:type="dxa"/>
          </w:tcPr>
          <w:p>
            <w:pPr>
              <w:pStyle w:val="9"/>
              <w:spacing w:before="143"/>
              <w:ind w:left="510"/>
              <w:rPr>
                <w:sz w:val="32"/>
              </w:rPr>
            </w:pPr>
            <w:r>
              <w:rPr>
                <w:sz w:val="32"/>
              </w:rPr>
              <w:t>红色</w:t>
            </w:r>
          </w:p>
        </w:tc>
        <w:tc>
          <w:tcPr>
            <w:tcW w:w="5723" w:type="dxa"/>
          </w:tcPr>
          <w:p>
            <w:pPr>
              <w:pStyle w:val="9"/>
              <w:rPr>
                <w:rFonts w:ascii="Times New Roman"/>
                <w:sz w:val="3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606" w:type="dxa"/>
            <w:gridSpan w:val="2"/>
          </w:tcPr>
          <w:p>
            <w:pPr>
              <w:pStyle w:val="9"/>
              <w:tabs>
                <w:tab w:val="left" w:pos="1463"/>
              </w:tabs>
              <w:spacing w:before="144"/>
              <w:ind w:left="822"/>
              <w:rPr>
                <w:sz w:val="32"/>
              </w:rPr>
            </w:pPr>
            <w:r>
              <w:rPr>
                <w:sz w:val="32"/>
              </w:rPr>
              <w:t>合</w:t>
            </w:r>
            <w:r>
              <w:rPr>
                <w:sz w:val="32"/>
              </w:rPr>
              <w:tab/>
            </w:r>
            <w:r>
              <w:rPr>
                <w:sz w:val="32"/>
              </w:rPr>
              <w:t>计</w:t>
            </w:r>
          </w:p>
        </w:tc>
        <w:tc>
          <w:tcPr>
            <w:tcW w:w="5723" w:type="dxa"/>
          </w:tcPr>
          <w:p>
            <w:pPr>
              <w:pStyle w:val="9"/>
              <w:rPr>
                <w:rFonts w:ascii="Times New Roman"/>
                <w:sz w:val="34"/>
              </w:rPr>
            </w:pPr>
          </w:p>
        </w:tc>
      </w:tr>
    </w:tbl>
    <w:p>
      <w:pPr>
        <w:pStyle w:val="3"/>
        <w:spacing w:before="143"/>
        <w:ind w:firstLine="320" w:firstLineChars="100"/>
        <w:rPr>
          <w:rFonts w:hint="eastAsia" w:eastAsia="仿宋_GB2312"/>
          <w:lang w:val="en-US" w:eastAsia="zh-CN"/>
        </w:rPr>
        <w:sectPr>
          <w:pgSz w:w="11910" w:h="16840"/>
          <w:pgMar w:top="2098" w:right="1474" w:bottom="1984" w:left="1587" w:header="0" w:footer="1214" w:gutter="0"/>
          <w:pgNumType w:fmt="decimal"/>
          <w:cols w:space="720" w:num="1"/>
        </w:sectPr>
      </w:pPr>
      <w:r>
        <w:t>备注：此表由乡镇（街道）保存并抄送应急管理局备案。</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hint="eastAsia" w:ascii="Times New Roman" w:eastAsia="黑体"/>
          <w:lang w:eastAsia="zh-CN"/>
        </w:rPr>
      </w:pPr>
      <w:r>
        <w:rPr>
          <w:rFonts w:hint="eastAsia" w:ascii="黑体" w:eastAsia="黑体"/>
        </w:rPr>
        <w:t xml:space="preserve">附件 </w:t>
      </w:r>
      <w:r>
        <w:rPr>
          <w:rFonts w:hint="eastAsia" w:ascii="Times New Roman" w:eastAsia="宋体"/>
          <w:lang w:val="en-US" w:eastAsia="zh-CN"/>
        </w:rPr>
        <w:t>3</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41"/>
        </w:rPr>
      </w:pPr>
    </w:p>
    <w:p>
      <w:pPr>
        <w:pStyle w:val="2"/>
        <w:keepNext w:val="0"/>
        <w:keepLines w:val="0"/>
        <w:pageBreakBefore w:val="0"/>
        <w:widowControl w:val="0"/>
        <w:kinsoku/>
        <w:wordWrap/>
        <w:overflowPunct/>
        <w:topLinePunct w:val="0"/>
        <w:autoSpaceDE w:val="0"/>
        <w:autoSpaceDN w:val="0"/>
        <w:bidi w:val="0"/>
        <w:adjustRightInd/>
        <w:snapToGrid/>
        <w:spacing w:before="288" w:line="578" w:lineRule="exact"/>
        <w:ind w:left="0" w:right="0" w:firstLine="0"/>
        <w:jc w:val="center"/>
        <w:textAlignment w:val="auto"/>
        <w:rPr>
          <w:rFonts w:ascii="Times New Roman" w:hAnsi="Times New Roman" w:eastAsia="方正小标宋_GBK"/>
          <w:sz w:val="44"/>
        </w:rPr>
      </w:pPr>
      <w:r>
        <w:rPr>
          <w:rFonts w:ascii="Times New Roman" w:hAnsi="Times New Roman" w:eastAsia="方正小标宋_GBK"/>
          <w:sz w:val="44"/>
        </w:rPr>
        <w:t>XXXX 灾害紧急避险转移人员汇总表</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方正小标宋简体"/>
          <w:sz w:val="29"/>
        </w:rPr>
      </w:pPr>
    </w:p>
    <w:p>
      <w:pPr>
        <w:pStyle w:val="3"/>
        <w:keepNext w:val="0"/>
        <w:keepLines w:val="0"/>
        <w:pageBreakBefore w:val="0"/>
        <w:widowControl w:val="0"/>
        <w:tabs>
          <w:tab w:val="left" w:pos="5307"/>
          <w:tab w:val="left" w:pos="7387"/>
          <w:tab w:val="left" w:pos="8026"/>
          <w:tab w:val="left" w:pos="8667"/>
        </w:tabs>
        <w:kinsoku/>
        <w:wordWrap/>
        <w:overflowPunct/>
        <w:topLinePunct w:val="0"/>
        <w:autoSpaceDE w:val="0"/>
        <w:autoSpaceDN w:val="0"/>
        <w:bidi w:val="0"/>
        <w:adjustRightInd/>
        <w:snapToGrid/>
        <w:spacing w:before="0" w:after="0" w:line="578" w:lineRule="exact"/>
        <w:ind w:left="0" w:right="0" w:firstLine="316" w:firstLineChars="100"/>
        <w:textAlignment w:val="auto"/>
      </w:pPr>
      <w:r>
        <w:rPr>
          <w:w w:val="99"/>
        </w:rPr>
        <w:t>填</w:t>
      </w:r>
      <w:r>
        <w:rPr>
          <w:spacing w:val="2"/>
          <w:w w:val="99"/>
        </w:rPr>
        <w:t>报</w:t>
      </w:r>
      <w:r>
        <w:rPr>
          <w:w w:val="99"/>
        </w:rPr>
        <w:t>单位</w:t>
      </w:r>
      <w:r>
        <w:rPr>
          <w:spacing w:val="2"/>
          <w:w w:val="99"/>
        </w:rPr>
        <w:t>（</w:t>
      </w:r>
      <w:r>
        <w:rPr>
          <w:w w:val="99"/>
        </w:rPr>
        <w:t>盖</w:t>
      </w:r>
      <w:r>
        <w:rPr>
          <w:spacing w:val="2"/>
          <w:w w:val="99"/>
        </w:rPr>
        <w:t>章</w:t>
      </w:r>
      <w:r>
        <w:rPr>
          <w:rFonts w:hint="eastAsia"/>
          <w:spacing w:val="2"/>
          <w:w w:val="99"/>
          <w:lang w:eastAsia="zh-CN"/>
        </w:rPr>
        <w:t>）：</w:t>
      </w:r>
      <w:r>
        <w:rPr>
          <w:rFonts w:hint="eastAsia"/>
          <w:spacing w:val="2"/>
          <w:w w:val="99"/>
          <w:lang w:val="en-US" w:eastAsia="zh-CN"/>
        </w:rPr>
        <w:t xml:space="preserve">           </w:t>
      </w:r>
      <w:r>
        <w:rPr>
          <w:w w:val="99"/>
        </w:rPr>
        <w:t>填</w:t>
      </w:r>
      <w:r>
        <w:rPr>
          <w:spacing w:val="2"/>
          <w:w w:val="99"/>
        </w:rPr>
        <w:t>报</w:t>
      </w:r>
      <w:r>
        <w:rPr>
          <w:w w:val="99"/>
        </w:rPr>
        <w:t>时间：</w:t>
      </w:r>
      <w:r>
        <w:rPr>
          <w:rFonts w:hint="eastAsia"/>
          <w:w w:val="99"/>
          <w:lang w:val="en-US" w:eastAsia="zh-CN"/>
        </w:rPr>
        <w:t xml:space="preserve">   </w:t>
      </w:r>
      <w:r>
        <w:rPr>
          <w:w w:val="99"/>
        </w:rPr>
        <w:t>年</w:t>
      </w:r>
      <w:r>
        <w:tab/>
      </w:r>
      <w:r>
        <w:rPr>
          <w:rFonts w:hint="eastAsia"/>
          <w:lang w:val="en-US" w:eastAsia="zh-CN"/>
        </w:rPr>
        <w:t xml:space="preserve">  </w:t>
      </w:r>
      <w:r>
        <w:rPr>
          <w:w w:val="99"/>
        </w:rPr>
        <w:t>月</w:t>
      </w:r>
      <w:r>
        <w:tab/>
      </w:r>
      <w:r>
        <w:rPr>
          <w:rFonts w:hint="eastAsia"/>
          <w:lang w:val="en-US" w:eastAsia="zh-CN"/>
        </w:rPr>
        <w:t xml:space="preserve">  </w:t>
      </w:r>
      <w:r>
        <w:rPr>
          <w:w w:val="99"/>
        </w:rPr>
        <w:t>日</w:t>
      </w:r>
    </w:p>
    <w:tbl>
      <w:tblPr>
        <w:tblStyle w:val="6"/>
        <w:tblW w:w="0" w:type="auto"/>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2434"/>
        <w:gridCol w:w="2392"/>
        <w:gridCol w:w="3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w w:val="99"/>
                <w:sz w:val="32"/>
              </w:rPr>
              <w:t>序</w:t>
            </w:r>
          </w:p>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w w:val="99"/>
                <w:sz w:val="32"/>
              </w:rPr>
              <w:t>号</w:t>
            </w:r>
          </w:p>
        </w:tc>
        <w:tc>
          <w:tcPr>
            <w:tcW w:w="2434"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预警等级</w:t>
            </w:r>
          </w:p>
        </w:tc>
        <w:tc>
          <w:tcPr>
            <w:tcW w:w="2392"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灾害点位名称</w:t>
            </w:r>
          </w:p>
        </w:tc>
        <w:tc>
          <w:tcPr>
            <w:tcW w:w="3331"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紧急避险转移</w:t>
            </w:r>
            <w:r>
              <w:rPr>
                <w:rFonts w:hint="eastAsia"/>
                <w:sz w:val="32"/>
                <w:lang w:eastAsia="zh-CN"/>
              </w:rPr>
              <w:t>户数</w:t>
            </w:r>
            <w:r>
              <w:rPr>
                <w:sz w:val="32"/>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1</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2</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3</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4</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5</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6</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7</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w w:val="99"/>
                <w:sz w:val="32"/>
              </w:rPr>
              <w:t>…</w:t>
            </w: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9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434"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2392"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424" w:type="dxa"/>
            <w:gridSpan w:val="3"/>
          </w:tcPr>
          <w:p>
            <w:pPr>
              <w:pStyle w:val="9"/>
              <w:keepNext w:val="0"/>
              <w:keepLines w:val="0"/>
              <w:pageBreakBefore w:val="0"/>
              <w:widowControl w:val="0"/>
              <w:tabs>
                <w:tab w:val="left" w:pos="648"/>
              </w:tabs>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合</w:t>
            </w:r>
            <w:r>
              <w:rPr>
                <w:sz w:val="32"/>
              </w:rPr>
              <w:tab/>
            </w:r>
            <w:r>
              <w:rPr>
                <w:sz w:val="32"/>
              </w:rPr>
              <w:t>计</w:t>
            </w:r>
          </w:p>
        </w:tc>
        <w:tc>
          <w:tcPr>
            <w:tcW w:w="3331"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rPr>
          <w:spacing w:val="-6"/>
        </w:rPr>
      </w:pPr>
      <w:r>
        <w:t>备注：此表为乡镇（街道）汇总表，每次灾情结束后7日内由</w:t>
      </w:r>
      <w:r>
        <w:rPr>
          <w:spacing w:val="-6"/>
        </w:rPr>
        <w:t>乡镇（街道）主要负责人签字并加盖公章后报应急管理局。</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pPr>
      <w:r>
        <w:rPr>
          <w:spacing w:val="-6"/>
        </w:rPr>
        <w:t xml:space="preserve">填表说明：预警等级填写 </w:t>
      </w:r>
      <w:r>
        <w:rPr>
          <w:rFonts w:ascii="Times New Roman" w:eastAsia="Times New Roman"/>
        </w:rPr>
        <w:t xml:space="preserve">XXXX </w:t>
      </w:r>
      <w:r>
        <w:t>灾害蓝色、黄色、橙色或</w:t>
      </w:r>
      <w:r>
        <w:rPr>
          <w:spacing w:val="2"/>
        </w:rPr>
        <w:t xml:space="preserve">红色预警；灾害点位名称填写发生灾害的具体地点，例 </w:t>
      </w:r>
      <w:r>
        <w:rPr>
          <w:rFonts w:ascii="Times New Roman" w:eastAsia="Times New Roman"/>
        </w:rPr>
        <w:t xml:space="preserve">XXXX </w:t>
      </w:r>
      <w:r>
        <w:rPr>
          <w:spacing w:val="-12"/>
        </w:rPr>
        <w:t>山洪灾害点；紧急避险转移人数填写发生灾害时在家人口和临时在该灾害点的外来人口，不能填写灾害点的户籍人口。</w:t>
      </w:r>
    </w:p>
    <w:p>
      <w:pPr>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both"/>
        <w:textAlignment w:val="auto"/>
        <w:sectPr>
          <w:footerReference r:id="rId5" w:type="default"/>
          <w:footerReference r:id="rId6" w:type="even"/>
          <w:pgSz w:w="11910" w:h="16840"/>
          <w:pgMar w:top="1580" w:right="1120" w:bottom="1400" w:left="1240" w:header="0" w:footer="1214" w:gutter="0"/>
          <w:pgNumType w:fmt="decimal" w:start="9"/>
          <w:cols w:space="720" w:num="1"/>
        </w:sectPr>
      </w:pP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hint="eastAsia" w:ascii="Times New Roman" w:eastAsia="黑体"/>
          <w:lang w:eastAsia="zh-CN"/>
        </w:rPr>
      </w:pPr>
      <w:r>
        <w:rPr>
          <w:rFonts w:hint="eastAsia" w:ascii="黑体" w:eastAsia="黑体"/>
        </w:rPr>
        <w:t xml:space="preserve">附件 </w:t>
      </w:r>
      <w:r>
        <w:rPr>
          <w:rFonts w:hint="eastAsia" w:ascii="Times New Roman" w:eastAsia="宋体"/>
          <w:lang w:val="en-US" w:eastAsia="zh-CN"/>
        </w:rPr>
        <w:t>4</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20"/>
        </w:rPr>
      </w:pPr>
    </w:p>
    <w:p>
      <w:pPr>
        <w:pStyle w:val="2"/>
        <w:keepNext w:val="0"/>
        <w:keepLines w:val="0"/>
        <w:pageBreakBefore w:val="0"/>
        <w:widowControl w:val="0"/>
        <w:kinsoku/>
        <w:wordWrap/>
        <w:overflowPunct/>
        <w:topLinePunct w:val="0"/>
        <w:autoSpaceDE w:val="0"/>
        <w:autoSpaceDN w:val="0"/>
        <w:bidi w:val="0"/>
        <w:adjustRightInd/>
        <w:snapToGrid/>
        <w:spacing w:before="288" w:line="578" w:lineRule="exact"/>
        <w:ind w:left="0" w:right="0" w:firstLine="0"/>
        <w:jc w:val="center"/>
        <w:textAlignment w:val="auto"/>
        <w:rPr>
          <w:rFonts w:ascii="Times New Roman" w:hAnsi="Times New Roman" w:eastAsia="方正小标宋_GBK"/>
          <w:sz w:val="44"/>
        </w:rPr>
      </w:pPr>
      <w:r>
        <w:rPr>
          <w:rFonts w:ascii="Times New Roman" w:hAnsi="Times New Roman" w:eastAsia="方正小标宋_GBK"/>
          <w:sz w:val="44"/>
        </w:rPr>
        <w:t>XXXX 灾害点紧急避险转移人员台账</w:t>
      </w:r>
    </w:p>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方正小标宋简体"/>
        </w:rPr>
      </w:pPr>
    </w:p>
    <w:p>
      <w:pPr>
        <w:pStyle w:val="3"/>
        <w:keepNext w:val="0"/>
        <w:keepLines w:val="0"/>
        <w:pageBreakBefore w:val="0"/>
        <w:widowControl w:val="0"/>
        <w:tabs>
          <w:tab w:val="left" w:pos="5657"/>
          <w:tab w:val="left" w:pos="7591"/>
          <w:tab w:val="left" w:pos="8232"/>
          <w:tab w:val="left" w:pos="8871"/>
        </w:tabs>
        <w:kinsoku/>
        <w:wordWrap/>
        <w:overflowPunct/>
        <w:topLinePunct w:val="0"/>
        <w:autoSpaceDE w:val="0"/>
        <w:autoSpaceDN w:val="0"/>
        <w:bidi w:val="0"/>
        <w:adjustRightInd/>
        <w:snapToGrid/>
        <w:spacing w:before="0" w:after="0" w:line="578" w:lineRule="exact"/>
        <w:ind w:left="0" w:right="0" w:firstLine="316" w:firstLineChars="100"/>
        <w:textAlignment w:val="auto"/>
      </w:pPr>
      <w:r>
        <w:rPr>
          <w:w w:val="99"/>
        </w:rPr>
        <w:t>填</w:t>
      </w:r>
      <w:r>
        <w:rPr>
          <w:spacing w:val="2"/>
          <w:w w:val="99"/>
        </w:rPr>
        <w:t>报</w:t>
      </w:r>
      <w:r>
        <w:rPr>
          <w:w w:val="99"/>
        </w:rPr>
        <w:t>单</w:t>
      </w:r>
      <w:r>
        <w:rPr>
          <w:spacing w:val="-144"/>
          <w:w w:val="99"/>
        </w:rPr>
        <w:t>位</w:t>
      </w:r>
      <w:r>
        <w:rPr>
          <w:rFonts w:hint="eastAsia"/>
          <w:w w:val="99"/>
          <w:lang w:val="en-US" w:eastAsia="zh-CN"/>
        </w:rPr>
        <w:t xml:space="preserve">  （</w:t>
      </w:r>
      <w:r>
        <w:rPr>
          <w:w w:val="99"/>
        </w:rPr>
        <w:t>盖</w:t>
      </w:r>
      <w:r>
        <w:rPr>
          <w:spacing w:val="2"/>
          <w:w w:val="99"/>
        </w:rPr>
        <w:t>章</w:t>
      </w:r>
      <w:r>
        <w:rPr>
          <w:rFonts w:hint="eastAsia"/>
          <w:spacing w:val="2"/>
          <w:w w:val="99"/>
          <w:lang w:eastAsia="zh-CN"/>
        </w:rPr>
        <w:t>）：</w:t>
      </w:r>
      <w:r>
        <w:rPr>
          <w:rFonts w:hint="eastAsia"/>
          <w:spacing w:val="2"/>
          <w:w w:val="99"/>
          <w:lang w:val="en-US" w:eastAsia="zh-CN"/>
        </w:rPr>
        <w:t xml:space="preserve">              填报时</w:t>
      </w:r>
      <w:r>
        <w:rPr>
          <w:spacing w:val="2"/>
          <w:w w:val="99"/>
        </w:rPr>
        <w:t>间</w:t>
      </w:r>
      <w:r>
        <w:rPr>
          <w:w w:val="99"/>
        </w:rPr>
        <w:t>：</w:t>
      </w:r>
      <w:r>
        <w:rPr>
          <w:rFonts w:hint="eastAsia"/>
          <w:w w:val="99"/>
          <w:lang w:val="en-US" w:eastAsia="zh-CN"/>
        </w:rPr>
        <w:t xml:space="preserve">  </w:t>
      </w:r>
      <w:r>
        <w:tab/>
      </w:r>
      <w:r>
        <w:rPr>
          <w:w w:val="99"/>
        </w:rPr>
        <w:t>年</w:t>
      </w:r>
      <w:r>
        <w:tab/>
      </w:r>
      <w:r>
        <w:rPr>
          <w:w w:val="99"/>
        </w:rPr>
        <w:t>月</w:t>
      </w:r>
      <w:r>
        <w:tab/>
      </w:r>
      <w:r>
        <w:rPr>
          <w:w w:val="99"/>
        </w:rPr>
        <w:t>日</w:t>
      </w:r>
    </w:p>
    <w:tbl>
      <w:tblPr>
        <w:tblStyle w:val="6"/>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8"/>
        <w:gridCol w:w="1350"/>
        <w:gridCol w:w="1830"/>
        <w:gridCol w:w="1785"/>
        <w:gridCol w:w="1995"/>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Merge w:val="restart"/>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序号</w:t>
            </w:r>
          </w:p>
        </w:tc>
        <w:tc>
          <w:tcPr>
            <w:tcW w:w="6960" w:type="dxa"/>
            <w:gridSpan w:val="4"/>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避险转移人员基本情况</w:t>
            </w:r>
          </w:p>
        </w:tc>
        <w:tc>
          <w:tcPr>
            <w:tcW w:w="1275" w:type="dxa"/>
            <w:vMerge w:val="restart"/>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p>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87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2"/>
                <w:szCs w:val="2"/>
              </w:rPr>
            </w:pP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户主姓名</w:t>
            </w: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hanging="159"/>
              <w:jc w:val="center"/>
              <w:textAlignment w:val="auto"/>
              <w:rPr>
                <w:sz w:val="32"/>
              </w:rPr>
            </w:pPr>
            <w:r>
              <w:rPr>
                <w:sz w:val="32"/>
              </w:rPr>
              <w:t>身份证号码</w:t>
            </w: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hint="eastAsia" w:eastAsia="仿宋_GB2312"/>
                <w:sz w:val="32"/>
                <w:lang w:eastAsia="zh-CN"/>
              </w:rPr>
            </w:pPr>
            <w:r>
              <w:rPr>
                <w:sz w:val="32"/>
              </w:rPr>
              <w:t>联系电话</w:t>
            </w: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32"/>
              </w:rPr>
            </w:pPr>
            <w:r>
              <w:rPr>
                <w:sz w:val="32"/>
              </w:rPr>
              <w:t>家庭</w:t>
            </w:r>
            <w:r>
              <w:rPr>
                <w:rFonts w:hint="eastAsia"/>
                <w:sz w:val="32"/>
                <w:lang w:eastAsia="zh-CN"/>
              </w:rPr>
              <w:t>转移人数</w:t>
            </w:r>
          </w:p>
        </w:tc>
        <w:tc>
          <w:tcPr>
            <w:tcW w:w="1275"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1</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2</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3</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4</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5</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6</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7</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8</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w w:val="99"/>
                <w:sz w:val="32"/>
              </w:rPr>
              <w:t>9</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r>
              <w:rPr>
                <w:rFonts w:ascii="Times New Roman"/>
                <w:sz w:val="32"/>
              </w:rPr>
              <w:t>...</w:t>
            </w: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78"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35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830"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78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99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c>
          <w:tcPr>
            <w:tcW w:w="1275" w:type="dxa"/>
            <w:vAlign w:val="center"/>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jc w:val="center"/>
              <w:textAlignment w:val="auto"/>
              <w:rPr>
                <w:rFonts w:ascii="Times New Roman"/>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78"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1350"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1830"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1785"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1995"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c>
          <w:tcPr>
            <w:tcW w:w="1275" w:type="dxa"/>
          </w:tcPr>
          <w:p>
            <w:pPr>
              <w:pStyle w:val="9"/>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ascii="Times New Roman"/>
                <w:sz w:val="32"/>
              </w:rPr>
            </w:pPr>
          </w:p>
        </w:tc>
      </w:tr>
    </w:tbl>
    <w:p>
      <w:pPr>
        <w:pStyle w:val="3"/>
        <w:keepNext w:val="0"/>
        <w:keepLines w:val="0"/>
        <w:pageBreakBefore w:val="0"/>
        <w:widowControl w:val="0"/>
        <w:kinsoku/>
        <w:wordWrap/>
        <w:overflowPunct/>
        <w:topLinePunct w:val="0"/>
        <w:autoSpaceDE w:val="0"/>
        <w:autoSpaceDN w:val="0"/>
        <w:bidi w:val="0"/>
        <w:adjustRightInd/>
        <w:snapToGrid/>
        <w:spacing w:before="0" w:after="0" w:line="578" w:lineRule="exact"/>
        <w:ind w:left="0" w:right="0"/>
        <w:textAlignment w:val="auto"/>
        <w:rPr>
          <w:rFonts w:hint="eastAsia" w:eastAsia="仿宋_GB2312"/>
          <w:spacing w:val="6"/>
          <w:w w:val="95"/>
          <w:lang w:eastAsia="zh-CN"/>
        </w:rPr>
        <w:sectPr>
          <w:footerReference r:id="rId7" w:type="default"/>
          <w:footerReference r:id="rId8" w:type="even"/>
          <w:pgSz w:w="11910" w:h="16840"/>
          <w:pgMar w:top="1580" w:right="1120" w:bottom="1400" w:left="1240" w:header="0" w:footer="1214" w:gutter="0"/>
          <w:pgNumType w:fmt="decimal"/>
          <w:cols w:space="720" w:num="1"/>
        </w:sectPr>
      </w:pPr>
      <w:r>
        <w:rPr>
          <w:spacing w:val="6"/>
          <w:w w:val="95"/>
        </w:rPr>
        <w:t>备注：此表为转移人员花名册</w:t>
      </w:r>
      <w:r>
        <w:rPr>
          <w:rFonts w:hint="eastAsia"/>
          <w:spacing w:val="6"/>
          <w:w w:val="95"/>
          <w:lang w:eastAsia="zh-CN"/>
        </w:rPr>
        <w:t>（</w:t>
      </w:r>
      <w:r>
        <w:rPr>
          <w:spacing w:val="6"/>
          <w:w w:val="95"/>
        </w:rPr>
        <w:t>含非常住人口，非常住人口在备注进行说明</w:t>
      </w:r>
      <w:r>
        <w:rPr>
          <w:rFonts w:hint="eastAsia"/>
          <w:spacing w:val="6"/>
          <w:w w:val="95"/>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pPr>
    </w:p>
    <w:sectPr>
      <w:footerReference r:id="rId9" w:type="default"/>
      <w:pgSz w:w="11906" w:h="16838"/>
      <w:pgMar w:top="1440" w:right="1800" w:bottom="1440" w:left="1800" w:header="0" w:footer="1213"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ge">
                <wp:posOffset>9781540</wp:posOffset>
              </wp:positionV>
              <wp:extent cx="471805" cy="2038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71805" cy="20383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top:770.2pt;height:16.05pt;width:37.15pt;mso-position-horizontal:right;mso-position-horizontal-relative:margin;mso-position-vertical-relative:page;z-index:251660288;mso-width-relative:page;mso-height-relative:page;" filled="f" stroked="f" coordsize="21600,21600" o:gfxdata="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Pbd2AAAAAkBAAAPAAAAAAAAAAEAIAAAACIAAABkcnMvZG93bnJldi54bWxQSwEC&#10;FAAUAAAACACHTuJAkioEWrsBAABxAwAADgAAAAAAAAABACAAAAAnAQAAZHJzL2Uyb0RvYy54bWxQ&#10;SwUGAAAAAAYABgBZAQAAVAUAAAAA&#10;">
              <v:fill on="f" focussize="0,0"/>
              <v:stroke on="f"/>
              <v:imagedata o:title=""/>
              <o:lock v:ext="edit" aspectratio="f"/>
              <v:textbox inset="0mm,0mm,0mm,0mm">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CD864"/>
    <w:multiLevelType w:val="singleLevel"/>
    <w:tmpl w:val="006CD864"/>
    <w:lvl w:ilvl="0" w:tentative="0">
      <w:start w:val="2"/>
      <w:numFmt w:val="decimal"/>
      <w:suff w:val="space"/>
      <w:lvlText w:val="%1."/>
      <w:lvlJc w:val="left"/>
      <w:rPr>
        <w:rFonts w:hint="default" w:ascii="Times New Roman" w:hAnsi="Times New Roman" w:cs="Times New Roman"/>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hZTc4MWFjMDU0MWMzNzVhZDg5ZDAxMDY0MmJlNzAifQ=="/>
  </w:docVars>
  <w:rsids>
    <w:rsidRoot w:val="44DC2FAF"/>
    <w:rsid w:val="003F7151"/>
    <w:rsid w:val="02522398"/>
    <w:rsid w:val="048C6A14"/>
    <w:rsid w:val="04C20603"/>
    <w:rsid w:val="0572630F"/>
    <w:rsid w:val="05F11A75"/>
    <w:rsid w:val="0B3B6339"/>
    <w:rsid w:val="0D065ADE"/>
    <w:rsid w:val="0D5F2B11"/>
    <w:rsid w:val="0DD37297"/>
    <w:rsid w:val="12A2529E"/>
    <w:rsid w:val="13CE1647"/>
    <w:rsid w:val="15026D53"/>
    <w:rsid w:val="163349EB"/>
    <w:rsid w:val="1677276B"/>
    <w:rsid w:val="1990114D"/>
    <w:rsid w:val="19F26104"/>
    <w:rsid w:val="1D961D59"/>
    <w:rsid w:val="1EED0175"/>
    <w:rsid w:val="24230A33"/>
    <w:rsid w:val="267F67D1"/>
    <w:rsid w:val="2AAE69E0"/>
    <w:rsid w:val="2CBC6E8C"/>
    <w:rsid w:val="2FFA6E2A"/>
    <w:rsid w:val="301B1BC1"/>
    <w:rsid w:val="312C394A"/>
    <w:rsid w:val="320831EE"/>
    <w:rsid w:val="32544A18"/>
    <w:rsid w:val="333941FE"/>
    <w:rsid w:val="33723281"/>
    <w:rsid w:val="33FC6F1D"/>
    <w:rsid w:val="35C05D95"/>
    <w:rsid w:val="35CE77D2"/>
    <w:rsid w:val="37661591"/>
    <w:rsid w:val="3805122C"/>
    <w:rsid w:val="39CA51D7"/>
    <w:rsid w:val="3AC0143A"/>
    <w:rsid w:val="3B2E0A9A"/>
    <w:rsid w:val="3BC92571"/>
    <w:rsid w:val="3D2748D8"/>
    <w:rsid w:val="3DDF2057"/>
    <w:rsid w:val="4133638A"/>
    <w:rsid w:val="42445673"/>
    <w:rsid w:val="43D250FC"/>
    <w:rsid w:val="4442268F"/>
    <w:rsid w:val="448551C6"/>
    <w:rsid w:val="44DC2FAF"/>
    <w:rsid w:val="4C822B28"/>
    <w:rsid w:val="4D243A1E"/>
    <w:rsid w:val="4E12089C"/>
    <w:rsid w:val="4F9D2544"/>
    <w:rsid w:val="525D7AEF"/>
    <w:rsid w:val="567649A8"/>
    <w:rsid w:val="58154F81"/>
    <w:rsid w:val="5A221E40"/>
    <w:rsid w:val="5C9A2118"/>
    <w:rsid w:val="63297765"/>
    <w:rsid w:val="68E6311C"/>
    <w:rsid w:val="6AD94673"/>
    <w:rsid w:val="6C36034C"/>
    <w:rsid w:val="6CC62031"/>
    <w:rsid w:val="6F484F7F"/>
    <w:rsid w:val="71A4016D"/>
    <w:rsid w:val="72532469"/>
    <w:rsid w:val="72EA425C"/>
    <w:rsid w:val="77330FFC"/>
    <w:rsid w:val="79144124"/>
    <w:rsid w:val="7942661A"/>
    <w:rsid w:val="7D46325C"/>
    <w:rsid w:val="7E4C7FE4"/>
    <w:rsid w:val="7E6C1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 w:type="paragraph" w:styleId="2">
    <w:name w:val="heading 1"/>
    <w:basedOn w:val="1"/>
    <w:autoRedefine/>
    <w:qFormat/>
    <w:uiPriority w:val="1"/>
    <w:pPr>
      <w:ind w:left="1027"/>
      <w:outlineLvl w:val="1"/>
    </w:pPr>
    <w:rPr>
      <w:rFonts w:ascii="方正小标宋简体" w:hAnsi="方正小标宋简体" w:eastAsia="方正小标宋简体" w:cs="方正小标宋简体"/>
      <w:sz w:val="44"/>
      <w:szCs w:val="44"/>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1"/>
    <w:rPr>
      <w:rFonts w:ascii="仿宋_GB2312" w:hAnsi="仿宋_GB2312" w:eastAsia="仿宋_GB2312" w:cs="仿宋_GB2312"/>
      <w:sz w:val="32"/>
      <w:szCs w:val="32"/>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Paragraph"/>
    <w:basedOn w:val="1"/>
    <w:autoRedefine/>
    <w:qFormat/>
    <w:uiPriority w:val="1"/>
    <w:pPr>
      <w:spacing w:before="6"/>
      <w:ind w:left="2108" w:hanging="322"/>
    </w:pPr>
    <w:rPr>
      <w:rFonts w:ascii="仿宋_GB2312" w:hAnsi="仿宋_GB2312" w:eastAsia="仿宋_GB2312" w:cs="仿宋_GB2312"/>
    </w:rPr>
  </w:style>
  <w:style w:type="paragraph" w:customStyle="1" w:styleId="9">
    <w:name w:val="Table Paragraph"/>
    <w:basedOn w:val="1"/>
    <w:qFormat/>
    <w:uiPriority w:val="1"/>
    <w:rPr>
      <w:rFonts w:ascii="仿宋_GB2312" w:hAnsi="仿宋_GB2312" w:eastAsia="仿宋_GB2312" w:cs="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2023-10-08T02:27:00Z</dcterms:created>
  <dc:creator>Administrator</dc:creator>
  <cp:lastModifiedBy>sdfweg</cp:lastModifiedBy>
  <cp:lastPrinted>2023-10-16T02:37:00Z</cp:lastPrinted>
  <dcterms:modified xsi:type="dcterms:W3CDTF">2024-01-04T01:26:17Z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70E3333424694ABB92E282DFA4194BA5_13</vt:lpwstr>
  </property>
</Properties>
</file>